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FEE" w:rsidRDefault="00380FEE">
      <w:pPr>
        <w:jc w:val="center"/>
        <w:rPr>
          <w:b/>
          <w:bCs/>
          <w:sz w:val="28"/>
          <w:szCs w:val="28"/>
        </w:rPr>
      </w:pPr>
      <w:r>
        <w:rPr>
          <w:b/>
          <w:bCs/>
          <w:sz w:val="28"/>
          <w:szCs w:val="28"/>
        </w:rPr>
        <w:t>Chapter Six</w:t>
      </w:r>
    </w:p>
    <w:p w:rsidR="00380FEE" w:rsidRDefault="00380FEE">
      <w:pPr>
        <w:jc w:val="center"/>
        <w:rPr>
          <w:b/>
          <w:bCs/>
          <w:sz w:val="28"/>
          <w:szCs w:val="28"/>
        </w:rPr>
      </w:pPr>
      <w:r>
        <w:rPr>
          <w:b/>
          <w:bCs/>
          <w:sz w:val="28"/>
          <w:szCs w:val="28"/>
        </w:rPr>
        <w:t>Credits and Special Taxes</w:t>
      </w:r>
    </w:p>
    <w:p w:rsidR="00380FEE" w:rsidRDefault="00380FEE">
      <w:pPr>
        <w:rPr>
          <w:b/>
          <w:bCs/>
          <w:sz w:val="24"/>
          <w:szCs w:val="24"/>
          <w:u w:val="single"/>
        </w:rPr>
      </w:pPr>
    </w:p>
    <w:p w:rsidR="00380FEE" w:rsidRDefault="009B2CC0">
      <w:pPr>
        <w:keepNext/>
        <w:jc w:val="both"/>
        <w:rPr>
          <w:b/>
          <w:bCs/>
          <w:sz w:val="24"/>
          <w:szCs w:val="24"/>
          <w:u w:val="single"/>
        </w:rPr>
      </w:pPr>
      <w:r>
        <w:rPr>
          <w:b/>
          <w:bCs/>
          <w:sz w:val="24"/>
          <w:szCs w:val="24"/>
          <w:u w:val="single"/>
        </w:rPr>
        <w:t>Learning Objective</w:t>
      </w:r>
      <w:r w:rsidR="007D78A5">
        <w:rPr>
          <w:b/>
          <w:bCs/>
          <w:sz w:val="24"/>
          <w:szCs w:val="24"/>
          <w:u w:val="single"/>
        </w:rPr>
        <w:t xml:space="preserve"> 6.1</w:t>
      </w:r>
      <w:r w:rsidR="00380FEE">
        <w:rPr>
          <w:b/>
          <w:bCs/>
          <w:sz w:val="24"/>
          <w:szCs w:val="24"/>
          <w:u w:val="single"/>
        </w:rPr>
        <w:tab/>
        <w:t>Child Tax Credit</w:t>
      </w:r>
    </w:p>
    <w:p w:rsidR="00380FEE" w:rsidRDefault="00380FEE">
      <w:pPr>
        <w:keepNext/>
        <w:rPr>
          <w:sz w:val="24"/>
          <w:szCs w:val="24"/>
        </w:rPr>
      </w:pPr>
      <w:r>
        <w:rPr>
          <w:sz w:val="24"/>
          <w:szCs w:val="24"/>
        </w:rPr>
        <w:t>If taxpayers have children under age 17</w:t>
      </w:r>
      <w:r w:rsidR="000D148D">
        <w:rPr>
          <w:sz w:val="24"/>
          <w:szCs w:val="24"/>
        </w:rPr>
        <w:t xml:space="preserve"> that are</w:t>
      </w:r>
      <w:r>
        <w:rPr>
          <w:sz w:val="24"/>
          <w:szCs w:val="24"/>
        </w:rPr>
        <w:t xml:space="preserve"> U.S. citizens and claimed as dependents on the taxpayer’s return, a credit is offered based on the number of children.</w:t>
      </w:r>
    </w:p>
    <w:p w:rsidR="00380FEE" w:rsidRDefault="00380FEE">
      <w:pPr>
        <w:rPr>
          <w:sz w:val="24"/>
          <w:szCs w:val="24"/>
        </w:rPr>
      </w:pPr>
    </w:p>
    <w:p w:rsidR="000D148D" w:rsidRDefault="000D148D" w:rsidP="000D148D">
      <w:pPr>
        <w:pStyle w:val="ListParagraph"/>
        <w:numPr>
          <w:ilvl w:val="0"/>
          <w:numId w:val="2"/>
        </w:numPr>
        <w:ind w:right="-720"/>
        <w:rPr>
          <w:sz w:val="24"/>
          <w:szCs w:val="24"/>
        </w:rPr>
      </w:pPr>
      <w:r>
        <w:rPr>
          <w:sz w:val="24"/>
          <w:szCs w:val="24"/>
        </w:rPr>
        <w:t>M</w:t>
      </w:r>
      <w:r w:rsidR="00380FEE" w:rsidRPr="000D148D">
        <w:rPr>
          <w:sz w:val="24"/>
          <w:szCs w:val="24"/>
        </w:rPr>
        <w:t>aximum credit is $1,000 per child</w:t>
      </w:r>
    </w:p>
    <w:p w:rsidR="000D148D" w:rsidRDefault="000D148D" w:rsidP="000D148D">
      <w:pPr>
        <w:pStyle w:val="ListParagraph"/>
        <w:numPr>
          <w:ilvl w:val="0"/>
          <w:numId w:val="2"/>
        </w:numPr>
        <w:ind w:right="-720"/>
        <w:rPr>
          <w:sz w:val="24"/>
          <w:szCs w:val="24"/>
        </w:rPr>
      </w:pPr>
      <w:r>
        <w:rPr>
          <w:sz w:val="24"/>
          <w:szCs w:val="24"/>
        </w:rPr>
        <w:t>P</w:t>
      </w:r>
      <w:r w:rsidR="00380FEE" w:rsidRPr="000D148D">
        <w:rPr>
          <w:sz w:val="24"/>
          <w:szCs w:val="24"/>
        </w:rPr>
        <w:t xml:space="preserve">hase out once AGI reaches $110,000 (MFJ), $55,000 (MFS) and $75,000 </w:t>
      </w:r>
      <w:r>
        <w:rPr>
          <w:sz w:val="24"/>
          <w:szCs w:val="24"/>
        </w:rPr>
        <w:t>(S) or (HOH)</w:t>
      </w:r>
      <w:r w:rsidR="00380FEE" w:rsidRPr="000D148D">
        <w:rPr>
          <w:sz w:val="24"/>
          <w:szCs w:val="24"/>
        </w:rPr>
        <w:t xml:space="preserve">  </w:t>
      </w:r>
    </w:p>
    <w:p w:rsidR="00380FEE" w:rsidRDefault="000D148D" w:rsidP="000D148D">
      <w:pPr>
        <w:pStyle w:val="ListParagraph"/>
        <w:numPr>
          <w:ilvl w:val="0"/>
          <w:numId w:val="2"/>
        </w:numPr>
        <w:ind w:right="-720"/>
        <w:rPr>
          <w:sz w:val="24"/>
          <w:szCs w:val="24"/>
        </w:rPr>
      </w:pPr>
      <w:r>
        <w:rPr>
          <w:sz w:val="24"/>
          <w:szCs w:val="24"/>
        </w:rPr>
        <w:t>C</w:t>
      </w:r>
      <w:r w:rsidR="009F5E59" w:rsidRPr="000D148D">
        <w:rPr>
          <w:sz w:val="24"/>
          <w:szCs w:val="24"/>
        </w:rPr>
        <w:t>redit is nonrefundable</w:t>
      </w:r>
      <w:r>
        <w:rPr>
          <w:sz w:val="24"/>
          <w:szCs w:val="24"/>
        </w:rPr>
        <w:t xml:space="preserve"> </w:t>
      </w:r>
    </w:p>
    <w:p w:rsidR="000D148D" w:rsidRPr="000D148D" w:rsidRDefault="000D148D" w:rsidP="000D148D">
      <w:pPr>
        <w:pStyle w:val="ListParagraph"/>
        <w:numPr>
          <w:ilvl w:val="0"/>
          <w:numId w:val="2"/>
        </w:numPr>
        <w:ind w:right="-720"/>
        <w:rPr>
          <w:sz w:val="24"/>
          <w:szCs w:val="24"/>
        </w:rPr>
      </w:pPr>
      <w:r>
        <w:rPr>
          <w:sz w:val="24"/>
          <w:szCs w:val="24"/>
        </w:rPr>
        <w:t>Also additional child tax credit</w:t>
      </w:r>
    </w:p>
    <w:p w:rsidR="00380FEE" w:rsidRDefault="00380FEE">
      <w:pPr>
        <w:ind w:right="-720"/>
        <w:rPr>
          <w:sz w:val="24"/>
          <w:szCs w:val="24"/>
        </w:rPr>
      </w:pPr>
    </w:p>
    <w:p w:rsidR="00380FEE" w:rsidRDefault="00380FEE">
      <w:pPr>
        <w:ind w:right="-720"/>
        <w:rPr>
          <w:sz w:val="24"/>
          <w:szCs w:val="24"/>
        </w:rPr>
      </w:pPr>
    </w:p>
    <w:p w:rsidR="00380FEE" w:rsidRDefault="009B2CC0">
      <w:pPr>
        <w:keepNext/>
        <w:jc w:val="both"/>
        <w:rPr>
          <w:b/>
          <w:bCs/>
          <w:sz w:val="24"/>
          <w:szCs w:val="24"/>
          <w:u w:val="single"/>
        </w:rPr>
      </w:pPr>
      <w:r>
        <w:rPr>
          <w:b/>
          <w:bCs/>
          <w:sz w:val="24"/>
          <w:szCs w:val="24"/>
          <w:u w:val="single"/>
        </w:rPr>
        <w:t>Learning Objective</w:t>
      </w:r>
      <w:r w:rsidR="007D78A5">
        <w:rPr>
          <w:b/>
          <w:bCs/>
          <w:sz w:val="24"/>
          <w:szCs w:val="24"/>
          <w:u w:val="single"/>
        </w:rPr>
        <w:t xml:space="preserve"> 6.2</w:t>
      </w:r>
      <w:r w:rsidR="00380FEE">
        <w:rPr>
          <w:b/>
          <w:bCs/>
          <w:sz w:val="24"/>
          <w:szCs w:val="24"/>
          <w:u w:val="single"/>
        </w:rPr>
        <w:tab/>
        <w:t>Earned Income Credit</w:t>
      </w:r>
    </w:p>
    <w:p w:rsidR="00A6619A" w:rsidRDefault="00380FEE">
      <w:pPr>
        <w:rPr>
          <w:sz w:val="24"/>
          <w:szCs w:val="24"/>
        </w:rPr>
      </w:pPr>
      <w:r>
        <w:rPr>
          <w:sz w:val="24"/>
          <w:szCs w:val="24"/>
        </w:rPr>
        <w:t xml:space="preserve">The Earned Income Credit (EIC) is for qualifying individuals </w:t>
      </w:r>
      <w:r w:rsidR="000D148D">
        <w:rPr>
          <w:sz w:val="24"/>
          <w:szCs w:val="24"/>
        </w:rPr>
        <w:t xml:space="preserve">with income below certain levels – meant </w:t>
      </w:r>
      <w:r w:rsidR="00A6619A">
        <w:rPr>
          <w:sz w:val="24"/>
          <w:szCs w:val="24"/>
        </w:rPr>
        <w:t>to assist working poor</w:t>
      </w:r>
    </w:p>
    <w:p w:rsidR="00A6619A" w:rsidRDefault="00A6619A" w:rsidP="00A6619A">
      <w:pPr>
        <w:pStyle w:val="ListParagraph"/>
        <w:numPr>
          <w:ilvl w:val="0"/>
          <w:numId w:val="3"/>
        </w:numPr>
        <w:rPr>
          <w:sz w:val="24"/>
          <w:szCs w:val="24"/>
        </w:rPr>
      </w:pPr>
      <w:r>
        <w:rPr>
          <w:sz w:val="24"/>
          <w:szCs w:val="24"/>
        </w:rPr>
        <w:t>U</w:t>
      </w:r>
      <w:r w:rsidR="00380FEE" w:rsidRPr="00A6619A">
        <w:rPr>
          <w:sz w:val="24"/>
          <w:szCs w:val="24"/>
        </w:rPr>
        <w:t xml:space="preserve">nique because </w:t>
      </w:r>
      <w:r>
        <w:rPr>
          <w:sz w:val="24"/>
          <w:szCs w:val="24"/>
        </w:rPr>
        <w:t xml:space="preserve">can result in </w:t>
      </w:r>
      <w:r w:rsidR="00380FEE" w:rsidRPr="00A6619A">
        <w:rPr>
          <w:sz w:val="24"/>
          <w:szCs w:val="24"/>
        </w:rPr>
        <w:t xml:space="preserve">refund </w:t>
      </w:r>
    </w:p>
    <w:p w:rsidR="00A6619A" w:rsidRDefault="00A6619A" w:rsidP="00A6619A">
      <w:pPr>
        <w:pStyle w:val="ListParagraph"/>
        <w:numPr>
          <w:ilvl w:val="0"/>
          <w:numId w:val="3"/>
        </w:numPr>
        <w:rPr>
          <w:sz w:val="24"/>
          <w:szCs w:val="24"/>
        </w:rPr>
      </w:pPr>
      <w:r>
        <w:rPr>
          <w:sz w:val="24"/>
          <w:szCs w:val="24"/>
        </w:rPr>
        <w:t>B</w:t>
      </w:r>
      <w:r w:rsidR="00380FEE" w:rsidRPr="00A6619A">
        <w:rPr>
          <w:sz w:val="24"/>
          <w:szCs w:val="24"/>
        </w:rPr>
        <w:t>ased on A</w:t>
      </w:r>
      <w:r>
        <w:rPr>
          <w:sz w:val="24"/>
          <w:szCs w:val="24"/>
        </w:rPr>
        <w:t xml:space="preserve">GI of </w:t>
      </w:r>
      <w:r w:rsidR="00380FEE" w:rsidRPr="00A6619A">
        <w:rPr>
          <w:sz w:val="24"/>
          <w:szCs w:val="24"/>
        </w:rPr>
        <w:t xml:space="preserve">taxpayer and the number of qualifying children </w:t>
      </w:r>
      <w:r w:rsidR="00494025" w:rsidRPr="00A6619A">
        <w:rPr>
          <w:sz w:val="24"/>
          <w:szCs w:val="24"/>
        </w:rPr>
        <w:t xml:space="preserve"> </w:t>
      </w:r>
    </w:p>
    <w:p w:rsidR="00A6619A" w:rsidRDefault="00494025" w:rsidP="00A6619A">
      <w:pPr>
        <w:pStyle w:val="ListParagraph"/>
        <w:numPr>
          <w:ilvl w:val="0"/>
          <w:numId w:val="3"/>
        </w:numPr>
        <w:rPr>
          <w:sz w:val="24"/>
          <w:szCs w:val="24"/>
        </w:rPr>
      </w:pPr>
      <w:r w:rsidRPr="00A6619A">
        <w:rPr>
          <w:sz w:val="24"/>
          <w:szCs w:val="24"/>
        </w:rPr>
        <w:t>The taxpayer must meet 7 rules to qualify for the EIC, including a limit on investment income</w:t>
      </w:r>
      <w:r w:rsidR="00A6619A">
        <w:rPr>
          <w:sz w:val="24"/>
          <w:szCs w:val="24"/>
        </w:rPr>
        <w:t xml:space="preserve"> (can’t make more than $3,400)</w:t>
      </w:r>
    </w:p>
    <w:p w:rsidR="00380FEE" w:rsidRDefault="00494025" w:rsidP="00A6619A">
      <w:pPr>
        <w:pStyle w:val="ListParagraph"/>
        <w:numPr>
          <w:ilvl w:val="1"/>
          <w:numId w:val="3"/>
        </w:numPr>
        <w:rPr>
          <w:sz w:val="24"/>
          <w:szCs w:val="24"/>
        </w:rPr>
      </w:pPr>
      <w:r w:rsidRPr="00A6619A">
        <w:rPr>
          <w:sz w:val="24"/>
          <w:szCs w:val="24"/>
        </w:rPr>
        <w:t>If the taxpayer doesn’t have a qualifying child, 4 additional rules must be met to qualify for a greatly reduced EIC</w:t>
      </w:r>
    </w:p>
    <w:p w:rsidR="00A6619A" w:rsidRPr="00C363F9" w:rsidRDefault="00A6619A" w:rsidP="00C363F9">
      <w:pPr>
        <w:pStyle w:val="ListParagraph"/>
        <w:numPr>
          <w:ilvl w:val="1"/>
          <w:numId w:val="3"/>
        </w:numPr>
        <w:rPr>
          <w:sz w:val="24"/>
          <w:szCs w:val="24"/>
        </w:rPr>
      </w:pPr>
      <w:r>
        <w:rPr>
          <w:sz w:val="24"/>
          <w:szCs w:val="24"/>
        </w:rPr>
        <w:t>To be eligible for credit w</w:t>
      </w:r>
      <w:r w:rsidR="00C363F9">
        <w:rPr>
          <w:sz w:val="24"/>
          <w:szCs w:val="24"/>
        </w:rPr>
        <w:t>ith no qualifying children must b</w:t>
      </w:r>
      <w:r w:rsidRPr="00C363F9">
        <w:rPr>
          <w:sz w:val="24"/>
          <w:szCs w:val="24"/>
        </w:rPr>
        <w:t>e over 25 and under</w:t>
      </w:r>
      <w:r w:rsidR="00C363F9">
        <w:rPr>
          <w:sz w:val="24"/>
          <w:szCs w:val="24"/>
        </w:rPr>
        <w:t xml:space="preserve"> 65</w:t>
      </w:r>
      <w:r w:rsidRPr="00C363F9">
        <w:rPr>
          <w:sz w:val="24"/>
          <w:szCs w:val="24"/>
        </w:rPr>
        <w:t xml:space="preserve"> and not claimed as dependent by another taxpayer</w:t>
      </w:r>
    </w:p>
    <w:p w:rsidR="00380FEE" w:rsidRDefault="00380FEE">
      <w:pPr>
        <w:ind w:left="360"/>
        <w:rPr>
          <w:sz w:val="24"/>
          <w:szCs w:val="24"/>
        </w:rPr>
      </w:pPr>
    </w:p>
    <w:p w:rsidR="00380FEE" w:rsidRDefault="00380FEE">
      <w:pPr>
        <w:ind w:left="360"/>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6.3</w:t>
      </w:r>
      <w:r w:rsidR="00380FEE">
        <w:rPr>
          <w:b/>
          <w:bCs/>
          <w:sz w:val="24"/>
          <w:szCs w:val="24"/>
          <w:u w:val="single"/>
        </w:rPr>
        <w:tab/>
        <w:t>Child and Dependent Care Credit</w:t>
      </w:r>
    </w:p>
    <w:p w:rsidR="00A6619A" w:rsidRDefault="00380FEE" w:rsidP="00422B73">
      <w:pPr>
        <w:keepNext/>
        <w:rPr>
          <w:sz w:val="24"/>
          <w:szCs w:val="24"/>
        </w:rPr>
      </w:pPr>
      <w:r>
        <w:rPr>
          <w:sz w:val="24"/>
          <w:szCs w:val="24"/>
        </w:rPr>
        <w:t xml:space="preserve">Taxpayers are allowed a credit for the care of their children and certain other dependents.  </w:t>
      </w:r>
    </w:p>
    <w:p w:rsidR="00A6619A" w:rsidRDefault="00380FEE" w:rsidP="00A6619A">
      <w:pPr>
        <w:pStyle w:val="ListParagraph"/>
        <w:keepNext/>
        <w:numPr>
          <w:ilvl w:val="0"/>
          <w:numId w:val="4"/>
        </w:numPr>
        <w:rPr>
          <w:sz w:val="24"/>
          <w:szCs w:val="24"/>
        </w:rPr>
      </w:pPr>
      <w:r w:rsidRPr="00A6619A">
        <w:rPr>
          <w:sz w:val="24"/>
          <w:szCs w:val="24"/>
        </w:rPr>
        <w:t>To be eligible, the taxpayer must maintain a household for a child whose age is 13 or under</w:t>
      </w:r>
      <w:r w:rsidR="00494025" w:rsidRPr="00A6619A">
        <w:rPr>
          <w:sz w:val="24"/>
          <w:szCs w:val="24"/>
        </w:rPr>
        <w:t>,</w:t>
      </w:r>
      <w:r w:rsidRPr="00A6619A">
        <w:rPr>
          <w:sz w:val="24"/>
          <w:szCs w:val="24"/>
        </w:rPr>
        <w:t xml:space="preserve"> or a dependent or spouse of any age who is </w:t>
      </w:r>
      <w:r w:rsidR="00714ACC" w:rsidRPr="00A6619A">
        <w:rPr>
          <w:sz w:val="24"/>
          <w:szCs w:val="24"/>
        </w:rPr>
        <w:t>incapable of self-care</w:t>
      </w:r>
      <w:r w:rsidRPr="00A6619A">
        <w:rPr>
          <w:sz w:val="24"/>
          <w:szCs w:val="24"/>
        </w:rPr>
        <w:t xml:space="preserve">  </w:t>
      </w:r>
    </w:p>
    <w:p w:rsidR="00A6619A" w:rsidRDefault="00A6619A" w:rsidP="00A6619A">
      <w:pPr>
        <w:pStyle w:val="ListParagraph"/>
        <w:keepNext/>
        <w:numPr>
          <w:ilvl w:val="0"/>
          <w:numId w:val="4"/>
        </w:numPr>
        <w:rPr>
          <w:sz w:val="24"/>
          <w:szCs w:val="24"/>
        </w:rPr>
      </w:pPr>
      <w:r>
        <w:rPr>
          <w:sz w:val="24"/>
          <w:szCs w:val="24"/>
        </w:rPr>
        <w:t>C</w:t>
      </w:r>
      <w:r w:rsidR="00380FEE" w:rsidRPr="00A6619A">
        <w:rPr>
          <w:sz w:val="24"/>
          <w:szCs w:val="24"/>
        </w:rPr>
        <w:t xml:space="preserve">redit is based </w:t>
      </w:r>
      <w:r w:rsidR="00C363F9">
        <w:rPr>
          <w:sz w:val="24"/>
          <w:szCs w:val="24"/>
        </w:rPr>
        <w:t>on AGI and qualified expenses</w:t>
      </w:r>
    </w:p>
    <w:p w:rsidR="00A6619A" w:rsidRDefault="00380FEE" w:rsidP="00A6619A">
      <w:pPr>
        <w:pStyle w:val="ListParagraph"/>
        <w:keepNext/>
        <w:numPr>
          <w:ilvl w:val="1"/>
          <w:numId w:val="4"/>
        </w:numPr>
        <w:rPr>
          <w:sz w:val="24"/>
          <w:szCs w:val="24"/>
        </w:rPr>
      </w:pPr>
      <w:r w:rsidRPr="00A6619A">
        <w:rPr>
          <w:sz w:val="24"/>
          <w:szCs w:val="24"/>
        </w:rPr>
        <w:t xml:space="preserve">Qualified expenses include amounts paid </w:t>
      </w:r>
      <w:r w:rsidR="00CB0A96" w:rsidRPr="00A6619A">
        <w:rPr>
          <w:sz w:val="24"/>
          <w:szCs w:val="24"/>
        </w:rPr>
        <w:t>to enable</w:t>
      </w:r>
      <w:r w:rsidRPr="00A6619A">
        <w:rPr>
          <w:sz w:val="24"/>
          <w:szCs w:val="24"/>
        </w:rPr>
        <w:t xml:space="preserve"> </w:t>
      </w:r>
      <w:r w:rsidR="00CB0A96" w:rsidRPr="00A6619A">
        <w:rPr>
          <w:sz w:val="24"/>
          <w:szCs w:val="24"/>
        </w:rPr>
        <w:t>taxpayer and spouse to</w:t>
      </w:r>
      <w:r w:rsidRPr="00A6619A">
        <w:rPr>
          <w:sz w:val="24"/>
          <w:szCs w:val="24"/>
        </w:rPr>
        <w:t xml:space="preserve"> be emplo</w:t>
      </w:r>
      <w:r w:rsidR="00C363F9">
        <w:rPr>
          <w:sz w:val="24"/>
          <w:szCs w:val="24"/>
        </w:rPr>
        <w:t>yed</w:t>
      </w:r>
    </w:p>
    <w:p w:rsidR="00A6619A" w:rsidRDefault="00A6619A" w:rsidP="00A6619A">
      <w:pPr>
        <w:pStyle w:val="ListParagraph"/>
        <w:keepNext/>
        <w:numPr>
          <w:ilvl w:val="1"/>
          <w:numId w:val="4"/>
        </w:numPr>
        <w:rPr>
          <w:sz w:val="24"/>
          <w:szCs w:val="24"/>
        </w:rPr>
      </w:pPr>
      <w:r>
        <w:rPr>
          <w:sz w:val="24"/>
          <w:szCs w:val="24"/>
        </w:rPr>
        <w:t>M</w:t>
      </w:r>
      <w:r w:rsidR="00380FEE" w:rsidRPr="00A6619A">
        <w:rPr>
          <w:sz w:val="24"/>
          <w:szCs w:val="24"/>
        </w:rPr>
        <w:t xml:space="preserve">ust include the name, address, and </w:t>
      </w:r>
      <w:r w:rsidR="00C363F9">
        <w:rPr>
          <w:sz w:val="24"/>
          <w:szCs w:val="24"/>
        </w:rPr>
        <w:t>TIN#</w:t>
      </w:r>
      <w:r w:rsidR="00380FEE" w:rsidRPr="00A6619A">
        <w:rPr>
          <w:sz w:val="24"/>
          <w:szCs w:val="24"/>
        </w:rPr>
        <w:t xml:space="preserve"> of the person or or</w:t>
      </w:r>
      <w:r w:rsidR="00C363F9">
        <w:rPr>
          <w:sz w:val="24"/>
          <w:szCs w:val="24"/>
        </w:rPr>
        <w:t xml:space="preserve">ganization providing care </w:t>
      </w:r>
    </w:p>
    <w:p w:rsidR="00A6619A" w:rsidRDefault="00C363F9" w:rsidP="00A6619A">
      <w:pPr>
        <w:pStyle w:val="ListParagraph"/>
        <w:keepNext/>
        <w:numPr>
          <w:ilvl w:val="1"/>
          <w:numId w:val="4"/>
        </w:numPr>
        <w:rPr>
          <w:sz w:val="24"/>
          <w:szCs w:val="24"/>
        </w:rPr>
      </w:pPr>
      <w:r>
        <w:rPr>
          <w:sz w:val="24"/>
          <w:szCs w:val="24"/>
        </w:rPr>
        <w:t>A</w:t>
      </w:r>
      <w:r w:rsidR="00380FEE" w:rsidRPr="00A6619A">
        <w:rPr>
          <w:sz w:val="24"/>
          <w:szCs w:val="24"/>
        </w:rPr>
        <w:t xml:space="preserve">llowable credit is </w:t>
      </w:r>
      <w:r w:rsidR="00494025" w:rsidRPr="00A6619A">
        <w:rPr>
          <w:sz w:val="24"/>
          <w:szCs w:val="24"/>
        </w:rPr>
        <w:t>available at different percentages of the qualifying expense, depending upon</w:t>
      </w:r>
      <w:r>
        <w:rPr>
          <w:sz w:val="24"/>
          <w:szCs w:val="24"/>
        </w:rPr>
        <w:t xml:space="preserve"> AGI (see table in text)</w:t>
      </w:r>
      <w:r w:rsidR="00380FEE" w:rsidRPr="00A6619A">
        <w:rPr>
          <w:sz w:val="24"/>
          <w:szCs w:val="24"/>
        </w:rPr>
        <w:t xml:space="preserve"> </w:t>
      </w:r>
    </w:p>
    <w:p w:rsidR="00EC5A85" w:rsidRDefault="00380FEE" w:rsidP="00A6619A">
      <w:pPr>
        <w:pStyle w:val="ListParagraph"/>
        <w:keepNext/>
        <w:numPr>
          <w:ilvl w:val="1"/>
          <w:numId w:val="4"/>
        </w:numPr>
        <w:rPr>
          <w:sz w:val="24"/>
          <w:szCs w:val="24"/>
        </w:rPr>
      </w:pPr>
      <w:r w:rsidRPr="00A6619A">
        <w:rPr>
          <w:sz w:val="24"/>
          <w:szCs w:val="24"/>
        </w:rPr>
        <w:t>The maximum credit allowed is $3,000 for o</w:t>
      </w:r>
      <w:r w:rsidR="00C363F9">
        <w:rPr>
          <w:sz w:val="24"/>
          <w:szCs w:val="24"/>
        </w:rPr>
        <w:t>ne dependent and $6,000 for two+</w:t>
      </w:r>
    </w:p>
    <w:p w:rsidR="00A6619A" w:rsidRDefault="00A6619A" w:rsidP="00A6619A">
      <w:pPr>
        <w:pStyle w:val="ListParagraph"/>
        <w:keepNext/>
        <w:numPr>
          <w:ilvl w:val="0"/>
          <w:numId w:val="4"/>
        </w:numPr>
        <w:rPr>
          <w:sz w:val="24"/>
          <w:szCs w:val="24"/>
        </w:rPr>
      </w:pPr>
      <w:r>
        <w:rPr>
          <w:sz w:val="24"/>
          <w:szCs w:val="24"/>
        </w:rPr>
        <w:t>Full-time students with little/no income ‘deemed’ to have $250/month or $500/month for two or more depends for purposes of calculating credit</w:t>
      </w:r>
    </w:p>
    <w:p w:rsidR="00A6619A" w:rsidRPr="00A6619A" w:rsidRDefault="00A6619A" w:rsidP="00A6619A">
      <w:pPr>
        <w:keepNext/>
        <w:ind w:left="360"/>
        <w:rPr>
          <w:sz w:val="24"/>
          <w:szCs w:val="24"/>
        </w:rPr>
      </w:pPr>
    </w:p>
    <w:p w:rsidR="00422B73" w:rsidRDefault="00422B73" w:rsidP="00422B73">
      <w:pPr>
        <w:keepNext/>
        <w:rPr>
          <w:sz w:val="24"/>
          <w:szCs w:val="24"/>
        </w:rPr>
      </w:pPr>
    </w:p>
    <w:p w:rsidR="00422B73" w:rsidRDefault="00422B73" w:rsidP="00422B73">
      <w:pPr>
        <w:keepNext/>
        <w:rPr>
          <w:sz w:val="24"/>
          <w:szCs w:val="24"/>
        </w:rPr>
      </w:pPr>
    </w:p>
    <w:p w:rsidR="00380FEE" w:rsidRPr="00422B73" w:rsidRDefault="00EC5A85" w:rsidP="00422B73">
      <w:pPr>
        <w:keepNext/>
        <w:rPr>
          <w:b/>
          <w:sz w:val="24"/>
          <w:szCs w:val="24"/>
          <w:u w:val="single"/>
        </w:rPr>
      </w:pPr>
      <w:r w:rsidRPr="00422B73">
        <w:rPr>
          <w:b/>
          <w:sz w:val="24"/>
          <w:szCs w:val="24"/>
          <w:u w:val="single"/>
        </w:rPr>
        <w:t>Learning Objective 6.4     The Affor</w:t>
      </w:r>
      <w:r w:rsidR="00422B73" w:rsidRPr="00422B73">
        <w:rPr>
          <w:b/>
          <w:sz w:val="24"/>
          <w:szCs w:val="24"/>
          <w:u w:val="single"/>
        </w:rPr>
        <w:t>d</w:t>
      </w:r>
      <w:r w:rsidRPr="00422B73">
        <w:rPr>
          <w:b/>
          <w:sz w:val="24"/>
          <w:szCs w:val="24"/>
          <w:u w:val="single"/>
        </w:rPr>
        <w:t>able Care Act</w:t>
      </w:r>
      <w:r w:rsidR="00380FEE" w:rsidRPr="00422B73">
        <w:rPr>
          <w:b/>
          <w:sz w:val="24"/>
          <w:szCs w:val="24"/>
          <w:u w:val="single"/>
        </w:rPr>
        <w:t xml:space="preserve"> </w:t>
      </w:r>
      <w:r w:rsidR="00BB00E6">
        <w:rPr>
          <w:b/>
          <w:sz w:val="24"/>
          <w:szCs w:val="24"/>
          <w:u w:val="single"/>
        </w:rPr>
        <w:t>(ACA)</w:t>
      </w:r>
    </w:p>
    <w:p w:rsidR="00A6619A" w:rsidRDefault="00F93F5F">
      <w:pPr>
        <w:rPr>
          <w:sz w:val="24"/>
          <w:szCs w:val="24"/>
        </w:rPr>
      </w:pPr>
      <w:r>
        <w:rPr>
          <w:sz w:val="24"/>
          <w:szCs w:val="24"/>
        </w:rPr>
        <w:t xml:space="preserve">The ACA was passed in 2010 </w:t>
      </w:r>
    </w:p>
    <w:p w:rsidR="00A6619A" w:rsidRDefault="00C363F9" w:rsidP="00A6619A">
      <w:pPr>
        <w:pStyle w:val="ListParagraph"/>
        <w:numPr>
          <w:ilvl w:val="0"/>
          <w:numId w:val="5"/>
        </w:numPr>
        <w:rPr>
          <w:sz w:val="24"/>
          <w:szCs w:val="24"/>
        </w:rPr>
      </w:pPr>
      <w:r>
        <w:rPr>
          <w:sz w:val="24"/>
          <w:szCs w:val="24"/>
        </w:rPr>
        <w:t>Significant provisions i</w:t>
      </w:r>
      <w:r w:rsidR="00A6619A">
        <w:rPr>
          <w:sz w:val="24"/>
          <w:szCs w:val="24"/>
        </w:rPr>
        <w:t>mplemented over time</w:t>
      </w:r>
    </w:p>
    <w:p w:rsidR="00380FEE" w:rsidRPr="00A6619A" w:rsidRDefault="00494025" w:rsidP="00A6619A">
      <w:pPr>
        <w:pStyle w:val="ListParagraph"/>
        <w:numPr>
          <w:ilvl w:val="0"/>
          <w:numId w:val="5"/>
        </w:numPr>
        <w:rPr>
          <w:sz w:val="24"/>
          <w:szCs w:val="24"/>
        </w:rPr>
      </w:pPr>
      <w:r w:rsidRPr="00A6619A">
        <w:rPr>
          <w:sz w:val="24"/>
          <w:szCs w:val="24"/>
        </w:rPr>
        <w:t>For 201</w:t>
      </w:r>
      <w:r w:rsidR="00A6619A">
        <w:rPr>
          <w:sz w:val="24"/>
          <w:szCs w:val="24"/>
        </w:rPr>
        <w:t>6</w:t>
      </w:r>
      <w:r w:rsidRPr="00A6619A">
        <w:rPr>
          <w:sz w:val="24"/>
          <w:szCs w:val="24"/>
        </w:rPr>
        <w:t>, most of the</w:t>
      </w:r>
      <w:r w:rsidR="00BB00E6" w:rsidRPr="00A6619A">
        <w:rPr>
          <w:sz w:val="24"/>
          <w:szCs w:val="24"/>
        </w:rPr>
        <w:t xml:space="preserve"> reporting requirements are in </w:t>
      </w:r>
      <w:r w:rsidRPr="00A6619A">
        <w:rPr>
          <w:sz w:val="24"/>
          <w:szCs w:val="24"/>
        </w:rPr>
        <w:t xml:space="preserve">place and ACA compliance </w:t>
      </w:r>
      <w:r w:rsidR="00A6619A">
        <w:rPr>
          <w:sz w:val="24"/>
          <w:szCs w:val="24"/>
        </w:rPr>
        <w:t>enforced</w:t>
      </w:r>
    </w:p>
    <w:p w:rsidR="00F93F5F" w:rsidRDefault="00F93F5F">
      <w:pPr>
        <w:rPr>
          <w:sz w:val="24"/>
          <w:szCs w:val="24"/>
        </w:rPr>
      </w:pPr>
    </w:p>
    <w:p w:rsidR="00F93F5F" w:rsidRPr="00F8164B" w:rsidRDefault="00F737A9">
      <w:pPr>
        <w:rPr>
          <w:sz w:val="24"/>
          <w:szCs w:val="24"/>
          <w:u w:val="single"/>
        </w:rPr>
      </w:pPr>
      <w:r w:rsidRPr="00F8164B">
        <w:rPr>
          <w:sz w:val="24"/>
          <w:szCs w:val="24"/>
          <w:u w:val="single"/>
        </w:rPr>
        <w:lastRenderedPageBreak/>
        <w:t>Individual Shared Responsibility</w:t>
      </w:r>
    </w:p>
    <w:p w:rsidR="00A6619A" w:rsidRDefault="00902FD5" w:rsidP="00A6619A">
      <w:pPr>
        <w:pStyle w:val="ListParagraph"/>
        <w:numPr>
          <w:ilvl w:val="0"/>
          <w:numId w:val="6"/>
        </w:numPr>
        <w:rPr>
          <w:sz w:val="24"/>
          <w:szCs w:val="24"/>
        </w:rPr>
      </w:pPr>
      <w:r w:rsidRPr="00A6619A">
        <w:rPr>
          <w:sz w:val="24"/>
          <w:szCs w:val="24"/>
        </w:rPr>
        <w:t xml:space="preserve">The individual shared responsibility provision </w:t>
      </w:r>
      <w:r w:rsidR="00F737A9" w:rsidRPr="00A6619A">
        <w:rPr>
          <w:sz w:val="24"/>
          <w:szCs w:val="24"/>
        </w:rPr>
        <w:t xml:space="preserve">is a “penalty tax” for failing to carry health insurance at </w:t>
      </w:r>
      <w:r w:rsidR="00E45A86" w:rsidRPr="00A6619A">
        <w:rPr>
          <w:sz w:val="24"/>
          <w:szCs w:val="24"/>
        </w:rPr>
        <w:t>a</w:t>
      </w:r>
      <w:r w:rsidR="00C363F9">
        <w:rPr>
          <w:sz w:val="24"/>
          <w:szCs w:val="24"/>
        </w:rPr>
        <w:t xml:space="preserve"> minimum level (MEC)</w:t>
      </w:r>
      <w:r w:rsidR="00F737A9" w:rsidRPr="00A6619A">
        <w:rPr>
          <w:sz w:val="24"/>
          <w:szCs w:val="24"/>
        </w:rPr>
        <w:t xml:space="preserve"> </w:t>
      </w:r>
    </w:p>
    <w:p w:rsidR="00A6619A" w:rsidRDefault="00C363F9" w:rsidP="00A6619A">
      <w:pPr>
        <w:pStyle w:val="ListParagraph"/>
        <w:numPr>
          <w:ilvl w:val="0"/>
          <w:numId w:val="6"/>
        </w:numPr>
        <w:rPr>
          <w:sz w:val="24"/>
          <w:szCs w:val="24"/>
        </w:rPr>
      </w:pPr>
      <w:r>
        <w:rPr>
          <w:sz w:val="24"/>
          <w:szCs w:val="24"/>
        </w:rPr>
        <w:t>R</w:t>
      </w:r>
      <w:r w:rsidR="00F737A9" w:rsidRPr="00A6619A">
        <w:rPr>
          <w:sz w:val="24"/>
          <w:szCs w:val="24"/>
        </w:rPr>
        <w:t xml:space="preserve">equires a taxpayer </w:t>
      </w:r>
      <w:r>
        <w:rPr>
          <w:sz w:val="24"/>
          <w:szCs w:val="24"/>
        </w:rPr>
        <w:t>and</w:t>
      </w:r>
      <w:r w:rsidR="00F737A9" w:rsidRPr="00A6619A">
        <w:rPr>
          <w:sz w:val="24"/>
          <w:szCs w:val="24"/>
        </w:rPr>
        <w:t xml:space="preserve"> family to have a minimum essential coverage level (ME</w:t>
      </w:r>
      <w:r>
        <w:rPr>
          <w:sz w:val="24"/>
          <w:szCs w:val="24"/>
        </w:rPr>
        <w:t>C) or an exemption from the MEC</w:t>
      </w:r>
      <w:r w:rsidR="0017053B" w:rsidRPr="00A6619A">
        <w:rPr>
          <w:sz w:val="24"/>
          <w:szCs w:val="24"/>
        </w:rPr>
        <w:t xml:space="preserve">  </w:t>
      </w:r>
    </w:p>
    <w:p w:rsidR="00A6619A" w:rsidRDefault="00902FD5" w:rsidP="00A6619A">
      <w:pPr>
        <w:pStyle w:val="ListParagraph"/>
        <w:numPr>
          <w:ilvl w:val="0"/>
          <w:numId w:val="6"/>
        </w:numPr>
        <w:rPr>
          <w:sz w:val="24"/>
          <w:szCs w:val="24"/>
        </w:rPr>
      </w:pPr>
      <w:r w:rsidRPr="00A6619A">
        <w:rPr>
          <w:sz w:val="24"/>
          <w:szCs w:val="24"/>
        </w:rPr>
        <w:t>Failure to carry the MEC causes the taxpayer to pay an additional tax when filing t</w:t>
      </w:r>
      <w:r w:rsidR="00C363F9">
        <w:rPr>
          <w:sz w:val="24"/>
          <w:szCs w:val="24"/>
        </w:rPr>
        <w:t>heir annual federal tax return</w:t>
      </w:r>
      <w:r w:rsidRPr="00A6619A">
        <w:rPr>
          <w:sz w:val="24"/>
          <w:szCs w:val="24"/>
        </w:rPr>
        <w:t xml:space="preserve"> </w:t>
      </w:r>
    </w:p>
    <w:p w:rsidR="00F737A9" w:rsidRDefault="00F737A9">
      <w:pPr>
        <w:rPr>
          <w:sz w:val="24"/>
          <w:szCs w:val="24"/>
        </w:rPr>
      </w:pPr>
    </w:p>
    <w:p w:rsidR="008536AC" w:rsidRPr="00F8164B" w:rsidRDefault="008536AC">
      <w:pPr>
        <w:rPr>
          <w:sz w:val="24"/>
          <w:szCs w:val="24"/>
          <w:u w:val="single"/>
        </w:rPr>
      </w:pPr>
      <w:r w:rsidRPr="00F8164B">
        <w:rPr>
          <w:sz w:val="24"/>
          <w:szCs w:val="24"/>
          <w:u w:val="single"/>
        </w:rPr>
        <w:t>Premium Tax Credit</w:t>
      </w:r>
    </w:p>
    <w:p w:rsidR="009A44CC" w:rsidRDefault="008536AC">
      <w:pPr>
        <w:rPr>
          <w:sz w:val="24"/>
          <w:szCs w:val="24"/>
        </w:rPr>
      </w:pPr>
      <w:r>
        <w:rPr>
          <w:sz w:val="24"/>
          <w:szCs w:val="24"/>
        </w:rPr>
        <w:t xml:space="preserve">Eligible taxpayers may receive a tax credit intended to lower the cost of health care.  To be eligible taxpayers must meet </w:t>
      </w:r>
      <w:r w:rsidR="009A44CC">
        <w:rPr>
          <w:sz w:val="24"/>
          <w:szCs w:val="24"/>
        </w:rPr>
        <w:t>all of the following:</w:t>
      </w:r>
    </w:p>
    <w:p w:rsidR="009A44CC" w:rsidRDefault="009A44CC" w:rsidP="00422B73">
      <w:pPr>
        <w:pStyle w:val="ListParagraph"/>
        <w:numPr>
          <w:ilvl w:val="0"/>
          <w:numId w:val="1"/>
        </w:numPr>
        <w:rPr>
          <w:sz w:val="24"/>
          <w:szCs w:val="24"/>
        </w:rPr>
      </w:pPr>
      <w:r>
        <w:rPr>
          <w:sz w:val="24"/>
          <w:szCs w:val="24"/>
        </w:rPr>
        <w:t>Health insurance is purchased through one of the state exchanges or the federal exchange</w:t>
      </w:r>
    </w:p>
    <w:p w:rsidR="009A44CC" w:rsidRDefault="009A44CC" w:rsidP="00422B73">
      <w:pPr>
        <w:pStyle w:val="ListParagraph"/>
        <w:numPr>
          <w:ilvl w:val="0"/>
          <w:numId w:val="1"/>
        </w:numPr>
        <w:rPr>
          <w:sz w:val="24"/>
          <w:szCs w:val="24"/>
        </w:rPr>
      </w:pPr>
      <w:r>
        <w:rPr>
          <w:sz w:val="24"/>
          <w:szCs w:val="24"/>
        </w:rPr>
        <w:t>The taxpayer is not eligible for coverage through an employer or government plan</w:t>
      </w:r>
    </w:p>
    <w:p w:rsidR="009A44CC" w:rsidRDefault="009A44CC" w:rsidP="00422B73">
      <w:pPr>
        <w:pStyle w:val="ListParagraph"/>
        <w:numPr>
          <w:ilvl w:val="0"/>
          <w:numId w:val="1"/>
        </w:numPr>
        <w:rPr>
          <w:sz w:val="24"/>
          <w:szCs w:val="24"/>
        </w:rPr>
      </w:pPr>
      <w:r>
        <w:rPr>
          <w:sz w:val="24"/>
          <w:szCs w:val="24"/>
        </w:rPr>
        <w:t>The taxpayer’s income falls below certain levels</w:t>
      </w:r>
    </w:p>
    <w:p w:rsidR="009A44CC" w:rsidRDefault="009A44CC" w:rsidP="00422B73">
      <w:pPr>
        <w:pStyle w:val="ListParagraph"/>
        <w:numPr>
          <w:ilvl w:val="0"/>
          <w:numId w:val="1"/>
        </w:numPr>
        <w:rPr>
          <w:sz w:val="24"/>
          <w:szCs w:val="24"/>
        </w:rPr>
      </w:pPr>
      <w:r>
        <w:rPr>
          <w:sz w:val="24"/>
          <w:szCs w:val="24"/>
        </w:rPr>
        <w:t>The taxpayer does not file Married Filing Separately except under very limited conditions</w:t>
      </w:r>
    </w:p>
    <w:p w:rsidR="009A44CC" w:rsidRDefault="009A44CC" w:rsidP="00422B73">
      <w:pPr>
        <w:pStyle w:val="ListParagraph"/>
        <w:numPr>
          <w:ilvl w:val="0"/>
          <w:numId w:val="1"/>
        </w:numPr>
        <w:rPr>
          <w:sz w:val="24"/>
          <w:szCs w:val="24"/>
        </w:rPr>
      </w:pPr>
      <w:r>
        <w:rPr>
          <w:sz w:val="24"/>
          <w:szCs w:val="24"/>
        </w:rPr>
        <w:t>The taxpayer cannot be claimed as a dependent by another</w:t>
      </w:r>
    </w:p>
    <w:p w:rsidR="009A44CC" w:rsidRPr="00422B73" w:rsidRDefault="009A44CC" w:rsidP="009A44CC">
      <w:pPr>
        <w:rPr>
          <w:sz w:val="24"/>
          <w:szCs w:val="24"/>
        </w:rPr>
      </w:pPr>
    </w:p>
    <w:p w:rsidR="00A6619A" w:rsidRDefault="008536AC">
      <w:pPr>
        <w:rPr>
          <w:sz w:val="24"/>
          <w:szCs w:val="24"/>
        </w:rPr>
      </w:pPr>
      <w:r>
        <w:rPr>
          <w:sz w:val="24"/>
          <w:szCs w:val="24"/>
        </w:rPr>
        <w:t xml:space="preserve">The credit is </w:t>
      </w:r>
      <w:r w:rsidR="009A44CC">
        <w:rPr>
          <w:sz w:val="24"/>
          <w:szCs w:val="24"/>
        </w:rPr>
        <w:t>calculated using</w:t>
      </w:r>
      <w:r>
        <w:rPr>
          <w:sz w:val="24"/>
          <w:szCs w:val="24"/>
        </w:rPr>
        <w:t xml:space="preserve"> specific tax tables similar to those used to </w:t>
      </w:r>
      <w:r w:rsidR="009A44CC">
        <w:rPr>
          <w:sz w:val="24"/>
          <w:szCs w:val="24"/>
        </w:rPr>
        <w:t>calculate</w:t>
      </w:r>
      <w:r>
        <w:rPr>
          <w:sz w:val="24"/>
          <w:szCs w:val="24"/>
        </w:rPr>
        <w:t xml:space="preserve"> </w:t>
      </w:r>
      <w:r w:rsidR="00C363F9">
        <w:rPr>
          <w:sz w:val="24"/>
          <w:szCs w:val="24"/>
        </w:rPr>
        <w:t>EIC</w:t>
      </w:r>
    </w:p>
    <w:p w:rsidR="004B7799" w:rsidRDefault="008536AC" w:rsidP="00A6619A">
      <w:pPr>
        <w:pStyle w:val="ListParagraph"/>
        <w:numPr>
          <w:ilvl w:val="0"/>
          <w:numId w:val="7"/>
        </w:numPr>
        <w:rPr>
          <w:sz w:val="24"/>
          <w:szCs w:val="24"/>
        </w:rPr>
      </w:pPr>
      <w:r w:rsidRPr="00A6619A">
        <w:rPr>
          <w:sz w:val="24"/>
          <w:szCs w:val="24"/>
        </w:rPr>
        <w:t xml:space="preserve">If qualified, </w:t>
      </w:r>
      <w:r w:rsidR="009A44CC" w:rsidRPr="00A6619A">
        <w:rPr>
          <w:sz w:val="24"/>
          <w:szCs w:val="24"/>
        </w:rPr>
        <w:t>the credit</w:t>
      </w:r>
      <w:r w:rsidRPr="00A6619A">
        <w:rPr>
          <w:sz w:val="24"/>
          <w:szCs w:val="24"/>
        </w:rPr>
        <w:t xml:space="preserve"> can be </w:t>
      </w:r>
      <w:r w:rsidR="004B7799">
        <w:rPr>
          <w:sz w:val="24"/>
          <w:szCs w:val="24"/>
        </w:rPr>
        <w:t>obtained at two different times</w:t>
      </w:r>
    </w:p>
    <w:p w:rsidR="007D7477" w:rsidRDefault="004B7799" w:rsidP="004B7799">
      <w:pPr>
        <w:ind w:firstLine="720"/>
        <w:rPr>
          <w:sz w:val="24"/>
          <w:szCs w:val="24"/>
        </w:rPr>
      </w:pPr>
      <w:r>
        <w:rPr>
          <w:sz w:val="24"/>
          <w:szCs w:val="24"/>
        </w:rPr>
        <w:t>(</w:t>
      </w:r>
      <w:r w:rsidR="008536AC" w:rsidRPr="004B7799">
        <w:rPr>
          <w:sz w:val="24"/>
          <w:szCs w:val="24"/>
        </w:rPr>
        <w:t xml:space="preserve">1) </w:t>
      </w:r>
      <w:r w:rsidR="00C363F9">
        <w:rPr>
          <w:sz w:val="24"/>
          <w:szCs w:val="24"/>
        </w:rPr>
        <w:t>U</w:t>
      </w:r>
      <w:r w:rsidR="008536AC" w:rsidRPr="004B7799">
        <w:rPr>
          <w:sz w:val="24"/>
          <w:szCs w:val="24"/>
        </w:rPr>
        <w:t>p</w:t>
      </w:r>
      <w:r w:rsidR="00C363F9">
        <w:rPr>
          <w:sz w:val="24"/>
          <w:szCs w:val="24"/>
        </w:rPr>
        <w:t xml:space="preserve"> </w:t>
      </w:r>
      <w:proofErr w:type="gramStart"/>
      <w:r w:rsidR="008536AC" w:rsidRPr="004B7799">
        <w:rPr>
          <w:sz w:val="24"/>
          <w:szCs w:val="24"/>
        </w:rPr>
        <w:t>front</w:t>
      </w:r>
      <w:r>
        <w:rPr>
          <w:sz w:val="24"/>
          <w:szCs w:val="24"/>
        </w:rPr>
        <w:t xml:space="preserve">  -</w:t>
      </w:r>
      <w:proofErr w:type="gramEnd"/>
      <w:r>
        <w:rPr>
          <w:sz w:val="24"/>
          <w:szCs w:val="24"/>
        </w:rPr>
        <w:t xml:space="preserve">  </w:t>
      </w:r>
      <w:r w:rsidR="00E45A86" w:rsidRPr="004B7799">
        <w:rPr>
          <w:sz w:val="24"/>
          <w:szCs w:val="24"/>
        </w:rPr>
        <w:t xml:space="preserve"> at time of enrollment </w:t>
      </w:r>
    </w:p>
    <w:p w:rsidR="004B7799" w:rsidRPr="007D7477" w:rsidRDefault="007D7477" w:rsidP="007D7477">
      <w:pPr>
        <w:ind w:left="360"/>
        <w:rPr>
          <w:sz w:val="24"/>
          <w:szCs w:val="24"/>
        </w:rPr>
      </w:pPr>
      <w:r w:rsidRPr="007D7477">
        <w:rPr>
          <w:sz w:val="24"/>
          <w:szCs w:val="24"/>
        </w:rPr>
        <w:t xml:space="preserve">                </w:t>
      </w:r>
      <w:r w:rsidR="00E45A86" w:rsidRPr="007D7477">
        <w:rPr>
          <w:sz w:val="24"/>
          <w:szCs w:val="24"/>
        </w:rPr>
        <w:t xml:space="preserve">or </w:t>
      </w:r>
    </w:p>
    <w:p w:rsidR="008536AC" w:rsidRPr="004B7799" w:rsidRDefault="004B7799" w:rsidP="004B7799">
      <w:pPr>
        <w:ind w:firstLine="720"/>
        <w:rPr>
          <w:sz w:val="24"/>
          <w:szCs w:val="24"/>
        </w:rPr>
      </w:pPr>
      <w:r>
        <w:rPr>
          <w:sz w:val="24"/>
          <w:szCs w:val="24"/>
        </w:rPr>
        <w:t>(</w:t>
      </w:r>
      <w:r w:rsidR="00C363F9">
        <w:rPr>
          <w:sz w:val="24"/>
          <w:szCs w:val="24"/>
        </w:rPr>
        <w:t>2) A</w:t>
      </w:r>
      <w:r w:rsidR="00E45A86" w:rsidRPr="004B7799">
        <w:rPr>
          <w:sz w:val="24"/>
          <w:szCs w:val="24"/>
        </w:rPr>
        <w:t xml:space="preserve">t the end of the year when the </w:t>
      </w:r>
      <w:r w:rsidR="009A44CC" w:rsidRPr="004B7799">
        <w:rPr>
          <w:sz w:val="24"/>
          <w:szCs w:val="24"/>
        </w:rPr>
        <w:t xml:space="preserve">annual federal </w:t>
      </w:r>
      <w:r w:rsidR="00970FFA" w:rsidRPr="004B7799">
        <w:rPr>
          <w:sz w:val="24"/>
          <w:szCs w:val="24"/>
        </w:rPr>
        <w:t xml:space="preserve">tax return is filed  </w:t>
      </w:r>
    </w:p>
    <w:p w:rsidR="009A44CC" w:rsidRPr="00F737A9" w:rsidRDefault="009A44CC">
      <w:pPr>
        <w:rPr>
          <w:sz w:val="24"/>
          <w:szCs w:val="24"/>
        </w:rPr>
      </w:pPr>
    </w:p>
    <w:p w:rsidR="00380FEE" w:rsidRDefault="009B2CC0">
      <w:pPr>
        <w:keepNext/>
        <w:jc w:val="both"/>
        <w:rPr>
          <w:sz w:val="24"/>
          <w:szCs w:val="24"/>
          <w:u w:val="single"/>
        </w:rPr>
      </w:pPr>
      <w:r>
        <w:rPr>
          <w:b/>
          <w:bCs/>
          <w:sz w:val="24"/>
          <w:szCs w:val="24"/>
          <w:u w:val="single"/>
        </w:rPr>
        <w:t>Learning Objective</w:t>
      </w:r>
      <w:r w:rsidR="007D78A5">
        <w:rPr>
          <w:b/>
          <w:bCs/>
          <w:sz w:val="24"/>
          <w:szCs w:val="24"/>
          <w:u w:val="single"/>
        </w:rPr>
        <w:t xml:space="preserve"> 6.</w:t>
      </w:r>
      <w:r w:rsidR="00970FFA">
        <w:rPr>
          <w:b/>
          <w:bCs/>
          <w:sz w:val="24"/>
          <w:szCs w:val="24"/>
          <w:u w:val="single"/>
        </w:rPr>
        <w:t>5</w:t>
      </w:r>
      <w:r w:rsidR="007D78A5">
        <w:rPr>
          <w:b/>
          <w:bCs/>
          <w:sz w:val="24"/>
          <w:szCs w:val="24"/>
          <w:u w:val="single"/>
        </w:rPr>
        <w:tab/>
        <w:t>Education Tax</w:t>
      </w:r>
      <w:r w:rsidR="00380FEE">
        <w:rPr>
          <w:b/>
          <w:bCs/>
          <w:sz w:val="24"/>
          <w:szCs w:val="24"/>
          <w:u w:val="single"/>
        </w:rPr>
        <w:t xml:space="preserve"> Credits</w:t>
      </w:r>
    </w:p>
    <w:p w:rsidR="007D7477" w:rsidRDefault="00380FEE">
      <w:pPr>
        <w:rPr>
          <w:sz w:val="24"/>
          <w:szCs w:val="24"/>
        </w:rPr>
      </w:pPr>
      <w:r>
        <w:rPr>
          <w:sz w:val="24"/>
          <w:szCs w:val="24"/>
        </w:rPr>
        <w:t>Taxpayers who are paying for higher educ</w:t>
      </w:r>
      <w:r w:rsidR="00C363F9">
        <w:rPr>
          <w:sz w:val="24"/>
          <w:szCs w:val="24"/>
        </w:rPr>
        <w:t>ation have two credits potentially available:</w:t>
      </w:r>
      <w:r w:rsidR="00C363F9">
        <w:rPr>
          <w:sz w:val="24"/>
          <w:szCs w:val="24"/>
        </w:rPr>
        <w:tab/>
      </w:r>
    </w:p>
    <w:p w:rsidR="007D7477" w:rsidRDefault="007D7477">
      <w:pPr>
        <w:rPr>
          <w:sz w:val="24"/>
          <w:szCs w:val="24"/>
        </w:rPr>
      </w:pPr>
    </w:p>
    <w:p w:rsidR="00862771" w:rsidRDefault="00C363F9">
      <w:pPr>
        <w:rPr>
          <w:sz w:val="24"/>
          <w:szCs w:val="24"/>
        </w:rPr>
      </w:pPr>
      <w:r>
        <w:rPr>
          <w:sz w:val="24"/>
          <w:szCs w:val="24"/>
        </w:rPr>
        <w:tab/>
      </w:r>
      <w:r>
        <w:rPr>
          <w:sz w:val="24"/>
          <w:szCs w:val="24"/>
        </w:rPr>
        <w:tab/>
      </w:r>
      <w:r w:rsidR="00460C37">
        <w:rPr>
          <w:sz w:val="24"/>
          <w:szCs w:val="24"/>
        </w:rPr>
        <w:t xml:space="preserve"> </w:t>
      </w:r>
      <w:r>
        <w:rPr>
          <w:sz w:val="24"/>
          <w:szCs w:val="24"/>
        </w:rPr>
        <w:t>T</w:t>
      </w:r>
      <w:r w:rsidR="00460C37">
        <w:rPr>
          <w:sz w:val="24"/>
          <w:szCs w:val="24"/>
        </w:rPr>
        <w:t xml:space="preserve">he </w:t>
      </w:r>
      <w:r w:rsidR="00460C37" w:rsidRPr="00862771">
        <w:rPr>
          <w:i/>
          <w:sz w:val="24"/>
          <w:szCs w:val="24"/>
        </w:rPr>
        <w:t>American Opportunity</w:t>
      </w:r>
      <w:r w:rsidR="00380FEE" w:rsidRPr="00862771">
        <w:rPr>
          <w:i/>
          <w:sz w:val="24"/>
          <w:szCs w:val="24"/>
        </w:rPr>
        <w:t xml:space="preserve"> </w:t>
      </w:r>
      <w:r w:rsidR="00862771" w:rsidRPr="00862771">
        <w:rPr>
          <w:i/>
          <w:sz w:val="24"/>
          <w:szCs w:val="24"/>
        </w:rPr>
        <w:t>Tax C</w:t>
      </w:r>
      <w:r w:rsidR="00380FEE" w:rsidRPr="00862771">
        <w:rPr>
          <w:i/>
          <w:sz w:val="24"/>
          <w:szCs w:val="24"/>
        </w:rPr>
        <w:t xml:space="preserve">redit </w:t>
      </w:r>
      <w:r w:rsidR="00862771" w:rsidRPr="00862771">
        <w:rPr>
          <w:i/>
          <w:sz w:val="24"/>
          <w:szCs w:val="24"/>
        </w:rPr>
        <w:t>(AOTC)</w:t>
      </w:r>
      <w:r w:rsidR="00862771">
        <w:rPr>
          <w:sz w:val="24"/>
          <w:szCs w:val="24"/>
        </w:rPr>
        <w:t xml:space="preserve"> </w:t>
      </w:r>
      <w:r w:rsidR="00380FEE">
        <w:rPr>
          <w:sz w:val="24"/>
          <w:szCs w:val="24"/>
        </w:rPr>
        <w:t xml:space="preserve">and the </w:t>
      </w:r>
      <w:r w:rsidR="00380FEE" w:rsidRPr="00862771">
        <w:rPr>
          <w:i/>
          <w:sz w:val="24"/>
          <w:szCs w:val="24"/>
        </w:rPr>
        <w:t>lifetime learning credit.</w:t>
      </w:r>
      <w:r w:rsidR="00380FEE">
        <w:rPr>
          <w:sz w:val="24"/>
          <w:szCs w:val="24"/>
        </w:rPr>
        <w:t xml:space="preserve"> </w:t>
      </w:r>
    </w:p>
    <w:p w:rsidR="007D7477" w:rsidRDefault="007D7477">
      <w:pPr>
        <w:rPr>
          <w:sz w:val="24"/>
          <w:szCs w:val="24"/>
        </w:rPr>
      </w:pPr>
    </w:p>
    <w:p w:rsidR="00862771" w:rsidRPr="00862771" w:rsidRDefault="00862771">
      <w:pPr>
        <w:rPr>
          <w:b/>
          <w:i/>
          <w:caps/>
          <w:sz w:val="24"/>
          <w:szCs w:val="24"/>
        </w:rPr>
      </w:pPr>
      <w:r>
        <w:rPr>
          <w:b/>
          <w:i/>
          <w:caps/>
          <w:sz w:val="24"/>
          <w:szCs w:val="24"/>
        </w:rPr>
        <w:t>AOTC</w:t>
      </w:r>
    </w:p>
    <w:p w:rsidR="00862771" w:rsidRDefault="00862771" w:rsidP="00862771">
      <w:pPr>
        <w:pStyle w:val="ListParagraph"/>
        <w:numPr>
          <w:ilvl w:val="0"/>
          <w:numId w:val="7"/>
        </w:numPr>
        <w:rPr>
          <w:sz w:val="24"/>
          <w:szCs w:val="24"/>
        </w:rPr>
      </w:pPr>
      <w:r w:rsidRPr="00862771">
        <w:rPr>
          <w:sz w:val="24"/>
          <w:szCs w:val="24"/>
        </w:rPr>
        <w:t>C</w:t>
      </w:r>
      <w:r w:rsidR="00C363F9">
        <w:rPr>
          <w:sz w:val="24"/>
          <w:szCs w:val="24"/>
        </w:rPr>
        <w:t xml:space="preserve">redit is </w:t>
      </w:r>
      <w:r w:rsidR="00380FEE" w:rsidRPr="00862771">
        <w:rPr>
          <w:sz w:val="24"/>
          <w:szCs w:val="24"/>
        </w:rPr>
        <w:t>for tuition</w:t>
      </w:r>
      <w:r w:rsidR="00C363F9">
        <w:rPr>
          <w:sz w:val="24"/>
          <w:szCs w:val="24"/>
        </w:rPr>
        <w:t xml:space="preserve">. Fees, supplies, books - </w:t>
      </w:r>
      <w:r w:rsidR="00380FEE" w:rsidRPr="00862771">
        <w:rPr>
          <w:sz w:val="24"/>
          <w:szCs w:val="24"/>
        </w:rPr>
        <w:t xml:space="preserve"> but not for </w:t>
      </w:r>
      <w:r w:rsidR="00460C37" w:rsidRPr="00862771">
        <w:rPr>
          <w:sz w:val="24"/>
          <w:szCs w:val="24"/>
        </w:rPr>
        <w:t xml:space="preserve">room and board.  </w:t>
      </w:r>
    </w:p>
    <w:p w:rsidR="00862771" w:rsidRDefault="00460C37" w:rsidP="00862771">
      <w:pPr>
        <w:pStyle w:val="ListParagraph"/>
        <w:numPr>
          <w:ilvl w:val="0"/>
          <w:numId w:val="7"/>
        </w:numPr>
        <w:rPr>
          <w:sz w:val="24"/>
          <w:szCs w:val="24"/>
        </w:rPr>
      </w:pPr>
      <w:r w:rsidRPr="00862771">
        <w:rPr>
          <w:sz w:val="24"/>
          <w:szCs w:val="24"/>
        </w:rPr>
        <w:t xml:space="preserve">The </w:t>
      </w:r>
      <w:r w:rsidR="00862771">
        <w:rPr>
          <w:sz w:val="24"/>
          <w:szCs w:val="24"/>
        </w:rPr>
        <w:t>AOTC</w:t>
      </w:r>
      <w:r w:rsidR="00380FEE" w:rsidRPr="00862771">
        <w:rPr>
          <w:sz w:val="24"/>
          <w:szCs w:val="24"/>
        </w:rPr>
        <w:t xml:space="preserve"> </w:t>
      </w:r>
      <w:r w:rsidRPr="00862771">
        <w:rPr>
          <w:sz w:val="24"/>
          <w:szCs w:val="24"/>
        </w:rPr>
        <w:t>is 100</w:t>
      </w:r>
      <w:r w:rsidR="00862771">
        <w:rPr>
          <w:sz w:val="24"/>
          <w:szCs w:val="24"/>
        </w:rPr>
        <w:t>%</w:t>
      </w:r>
      <w:r w:rsidRPr="00862771">
        <w:rPr>
          <w:sz w:val="24"/>
          <w:szCs w:val="24"/>
        </w:rPr>
        <w:t xml:space="preserve"> of the first $2,00</w:t>
      </w:r>
      <w:r w:rsidR="00443BC7" w:rsidRPr="00862771">
        <w:rPr>
          <w:sz w:val="24"/>
          <w:szCs w:val="24"/>
        </w:rPr>
        <w:t xml:space="preserve">0 of tuition, </w:t>
      </w:r>
      <w:r w:rsidR="00380FEE" w:rsidRPr="00862771">
        <w:rPr>
          <w:sz w:val="24"/>
          <w:szCs w:val="24"/>
        </w:rPr>
        <w:t>fe</w:t>
      </w:r>
      <w:r w:rsidRPr="00862771">
        <w:rPr>
          <w:sz w:val="24"/>
          <w:szCs w:val="24"/>
        </w:rPr>
        <w:t>es</w:t>
      </w:r>
      <w:r w:rsidR="00443BC7" w:rsidRPr="00862771">
        <w:rPr>
          <w:sz w:val="24"/>
          <w:szCs w:val="24"/>
        </w:rPr>
        <w:t xml:space="preserve">, books and course materials </w:t>
      </w:r>
      <w:r w:rsidRPr="00862771">
        <w:rPr>
          <w:sz w:val="24"/>
          <w:szCs w:val="24"/>
        </w:rPr>
        <w:t>paid and 25% of the next $2,0</w:t>
      </w:r>
      <w:r w:rsidR="00380FEE" w:rsidRPr="00862771">
        <w:rPr>
          <w:sz w:val="24"/>
          <w:szCs w:val="24"/>
        </w:rPr>
        <w:t>00 (maximum cred</w:t>
      </w:r>
      <w:r w:rsidRPr="00862771">
        <w:rPr>
          <w:sz w:val="24"/>
          <w:szCs w:val="24"/>
        </w:rPr>
        <w:t>it of $2,5</w:t>
      </w:r>
      <w:r w:rsidR="009B0AD2" w:rsidRPr="00862771">
        <w:rPr>
          <w:sz w:val="24"/>
          <w:szCs w:val="24"/>
        </w:rPr>
        <w:t>0</w:t>
      </w:r>
      <w:r w:rsidR="00C363F9">
        <w:rPr>
          <w:sz w:val="24"/>
          <w:szCs w:val="24"/>
        </w:rPr>
        <w:t>0) per student</w:t>
      </w:r>
      <w:r w:rsidR="00380FEE" w:rsidRPr="00862771">
        <w:rPr>
          <w:sz w:val="24"/>
          <w:szCs w:val="24"/>
        </w:rPr>
        <w:t xml:space="preserve">  </w:t>
      </w:r>
    </w:p>
    <w:p w:rsidR="00862771" w:rsidRDefault="00862771" w:rsidP="00862771">
      <w:pPr>
        <w:pStyle w:val="ListParagraph"/>
        <w:numPr>
          <w:ilvl w:val="1"/>
          <w:numId w:val="7"/>
        </w:numPr>
        <w:rPr>
          <w:sz w:val="24"/>
          <w:szCs w:val="24"/>
        </w:rPr>
      </w:pPr>
      <w:r>
        <w:rPr>
          <w:sz w:val="24"/>
          <w:szCs w:val="24"/>
        </w:rPr>
        <w:t>AOTC is</w:t>
      </w:r>
      <w:r w:rsidRPr="00862771">
        <w:rPr>
          <w:sz w:val="24"/>
          <w:szCs w:val="24"/>
        </w:rPr>
        <w:t xml:space="preserve"> 40% refundable, </w:t>
      </w:r>
      <w:r>
        <w:rPr>
          <w:sz w:val="24"/>
          <w:szCs w:val="24"/>
        </w:rPr>
        <w:t>so</w:t>
      </w:r>
      <w:r w:rsidRPr="00862771">
        <w:rPr>
          <w:sz w:val="24"/>
          <w:szCs w:val="24"/>
        </w:rPr>
        <w:t xml:space="preserve"> can reduce the liability to below zero  </w:t>
      </w:r>
    </w:p>
    <w:p w:rsidR="00862771" w:rsidRPr="00862771" w:rsidRDefault="00862771" w:rsidP="00862771">
      <w:pPr>
        <w:pStyle w:val="ListParagraph"/>
        <w:numPr>
          <w:ilvl w:val="1"/>
          <w:numId w:val="7"/>
        </w:numPr>
        <w:rPr>
          <w:sz w:val="24"/>
          <w:szCs w:val="24"/>
        </w:rPr>
      </w:pPr>
      <w:r>
        <w:rPr>
          <w:sz w:val="24"/>
          <w:szCs w:val="24"/>
        </w:rPr>
        <w:t>A</w:t>
      </w:r>
      <w:r w:rsidRPr="00862771">
        <w:rPr>
          <w:sz w:val="24"/>
          <w:szCs w:val="24"/>
        </w:rPr>
        <w:t xml:space="preserve"> student must be taking one-half the normal course load and cannot be convicted of a federal or state drug felony.</w:t>
      </w:r>
    </w:p>
    <w:p w:rsidR="00862771" w:rsidRDefault="00862771" w:rsidP="00862771">
      <w:pPr>
        <w:pStyle w:val="ListParagraph"/>
        <w:numPr>
          <w:ilvl w:val="1"/>
          <w:numId w:val="7"/>
        </w:numPr>
        <w:rPr>
          <w:sz w:val="24"/>
          <w:szCs w:val="24"/>
        </w:rPr>
      </w:pPr>
      <w:r>
        <w:rPr>
          <w:sz w:val="24"/>
          <w:szCs w:val="24"/>
        </w:rPr>
        <w:t>A</w:t>
      </w:r>
      <w:r w:rsidR="00460C37" w:rsidRPr="00862771">
        <w:rPr>
          <w:sz w:val="24"/>
          <w:szCs w:val="24"/>
        </w:rPr>
        <w:t xml:space="preserve">vailable for the first </w:t>
      </w:r>
      <w:r>
        <w:rPr>
          <w:sz w:val="24"/>
          <w:szCs w:val="24"/>
        </w:rPr>
        <w:t>4</w:t>
      </w:r>
      <w:r w:rsidR="00380FEE" w:rsidRPr="00862771">
        <w:rPr>
          <w:sz w:val="24"/>
          <w:szCs w:val="24"/>
        </w:rPr>
        <w:t xml:space="preserve"> years of pos</w:t>
      </w:r>
      <w:r w:rsidR="00460C37" w:rsidRPr="00862771">
        <w:rPr>
          <w:sz w:val="24"/>
          <w:szCs w:val="24"/>
        </w:rPr>
        <w:t xml:space="preserve">t-secondary education. </w:t>
      </w:r>
    </w:p>
    <w:p w:rsidR="00862771" w:rsidRDefault="00113ED1" w:rsidP="00862771">
      <w:pPr>
        <w:pStyle w:val="ListParagraph"/>
        <w:numPr>
          <w:ilvl w:val="1"/>
          <w:numId w:val="7"/>
        </w:numPr>
        <w:rPr>
          <w:sz w:val="24"/>
          <w:szCs w:val="24"/>
        </w:rPr>
      </w:pPr>
      <w:r w:rsidRPr="00862771">
        <w:rPr>
          <w:sz w:val="24"/>
          <w:szCs w:val="24"/>
        </w:rPr>
        <w:t xml:space="preserve">The phase-out for </w:t>
      </w:r>
      <w:r w:rsidR="00862771">
        <w:rPr>
          <w:sz w:val="24"/>
          <w:szCs w:val="24"/>
        </w:rPr>
        <w:t>AOTC is between $160,000-</w:t>
      </w:r>
      <w:r w:rsidRPr="00862771">
        <w:rPr>
          <w:sz w:val="24"/>
          <w:szCs w:val="24"/>
        </w:rPr>
        <w:t xml:space="preserve">$180,000 </w:t>
      </w:r>
      <w:r w:rsidR="00862771">
        <w:rPr>
          <w:sz w:val="24"/>
          <w:szCs w:val="24"/>
        </w:rPr>
        <w:t>(MFJ) and $80,000-</w:t>
      </w:r>
      <w:r w:rsidRPr="00862771">
        <w:rPr>
          <w:sz w:val="24"/>
          <w:szCs w:val="24"/>
        </w:rPr>
        <w:t xml:space="preserve">$90,000 </w:t>
      </w:r>
      <w:r w:rsidR="00862771">
        <w:rPr>
          <w:sz w:val="24"/>
          <w:szCs w:val="24"/>
        </w:rPr>
        <w:t>(all others)</w:t>
      </w:r>
      <w:r w:rsidRPr="00862771">
        <w:rPr>
          <w:sz w:val="24"/>
          <w:szCs w:val="24"/>
        </w:rPr>
        <w:t xml:space="preserve">.  </w:t>
      </w:r>
    </w:p>
    <w:p w:rsidR="00443BC7" w:rsidRDefault="00443BC7">
      <w:pPr>
        <w:rPr>
          <w:sz w:val="24"/>
          <w:szCs w:val="24"/>
        </w:rPr>
      </w:pPr>
    </w:p>
    <w:p w:rsidR="00862771" w:rsidRPr="00862771" w:rsidRDefault="00862771">
      <w:pPr>
        <w:rPr>
          <w:b/>
          <w:i/>
          <w:sz w:val="24"/>
          <w:szCs w:val="24"/>
        </w:rPr>
      </w:pPr>
      <w:r w:rsidRPr="00862771">
        <w:rPr>
          <w:b/>
          <w:i/>
          <w:sz w:val="24"/>
          <w:szCs w:val="24"/>
        </w:rPr>
        <w:t>LLC</w:t>
      </w:r>
    </w:p>
    <w:p w:rsidR="00862771" w:rsidRDefault="00380FEE" w:rsidP="00862771">
      <w:pPr>
        <w:pStyle w:val="ListParagraph"/>
        <w:numPr>
          <w:ilvl w:val="0"/>
          <w:numId w:val="8"/>
        </w:numPr>
        <w:rPr>
          <w:sz w:val="24"/>
          <w:szCs w:val="24"/>
        </w:rPr>
      </w:pPr>
      <w:r w:rsidRPr="00862771">
        <w:rPr>
          <w:sz w:val="24"/>
          <w:szCs w:val="24"/>
        </w:rPr>
        <w:t xml:space="preserve">The lifetime learning credit </w:t>
      </w:r>
      <w:r w:rsidR="00862771" w:rsidRPr="00862771">
        <w:rPr>
          <w:sz w:val="24"/>
          <w:szCs w:val="24"/>
        </w:rPr>
        <w:t xml:space="preserve">(LLC) </w:t>
      </w:r>
      <w:r w:rsidRPr="00862771">
        <w:rPr>
          <w:sz w:val="24"/>
          <w:szCs w:val="24"/>
        </w:rPr>
        <w:t>is a nonrefundable credit of 20% of tuition and fees up to $</w:t>
      </w:r>
      <w:r w:rsidR="00CB0A96" w:rsidRPr="00862771">
        <w:rPr>
          <w:sz w:val="24"/>
          <w:szCs w:val="24"/>
        </w:rPr>
        <w:t>10,</w:t>
      </w:r>
      <w:r w:rsidRPr="00862771">
        <w:rPr>
          <w:sz w:val="24"/>
          <w:szCs w:val="24"/>
        </w:rPr>
        <w:t>000 (maximum cred</w:t>
      </w:r>
      <w:r w:rsidR="00CB0A96" w:rsidRPr="00862771">
        <w:rPr>
          <w:sz w:val="24"/>
          <w:szCs w:val="24"/>
        </w:rPr>
        <w:t>it of $2</w:t>
      </w:r>
      <w:r w:rsidR="002577DC" w:rsidRPr="00862771">
        <w:rPr>
          <w:sz w:val="24"/>
          <w:szCs w:val="24"/>
        </w:rPr>
        <w:t xml:space="preserve">,000) per year.  </w:t>
      </w:r>
    </w:p>
    <w:p w:rsidR="00862771" w:rsidRDefault="00380FEE" w:rsidP="00862771">
      <w:pPr>
        <w:pStyle w:val="ListParagraph"/>
        <w:numPr>
          <w:ilvl w:val="0"/>
          <w:numId w:val="8"/>
        </w:numPr>
        <w:rPr>
          <w:sz w:val="24"/>
          <w:szCs w:val="24"/>
        </w:rPr>
      </w:pPr>
      <w:r w:rsidRPr="00862771">
        <w:rPr>
          <w:sz w:val="24"/>
          <w:szCs w:val="24"/>
        </w:rPr>
        <w:t xml:space="preserve">The phase-out </w:t>
      </w:r>
      <w:r w:rsidR="00862771">
        <w:rPr>
          <w:sz w:val="24"/>
          <w:szCs w:val="24"/>
        </w:rPr>
        <w:t>for LLC is</w:t>
      </w:r>
      <w:r w:rsidR="009B0AD2" w:rsidRPr="00862771">
        <w:rPr>
          <w:sz w:val="24"/>
          <w:szCs w:val="24"/>
        </w:rPr>
        <w:t xml:space="preserve"> $</w:t>
      </w:r>
      <w:r w:rsidR="00494025" w:rsidRPr="00862771">
        <w:rPr>
          <w:sz w:val="24"/>
          <w:szCs w:val="24"/>
        </w:rPr>
        <w:t>11</w:t>
      </w:r>
      <w:r w:rsidR="00862771">
        <w:rPr>
          <w:sz w:val="24"/>
          <w:szCs w:val="24"/>
        </w:rPr>
        <w:t>1</w:t>
      </w:r>
      <w:r w:rsidR="009B0AD2" w:rsidRPr="00862771">
        <w:rPr>
          <w:sz w:val="24"/>
          <w:szCs w:val="24"/>
        </w:rPr>
        <w:t>,000</w:t>
      </w:r>
      <w:r w:rsidR="00862771">
        <w:rPr>
          <w:sz w:val="24"/>
          <w:szCs w:val="24"/>
        </w:rPr>
        <w:t>-</w:t>
      </w:r>
      <w:r w:rsidR="009B0AD2" w:rsidRPr="00862771">
        <w:rPr>
          <w:sz w:val="24"/>
          <w:szCs w:val="24"/>
        </w:rPr>
        <w:t>$</w:t>
      </w:r>
      <w:r w:rsidR="00494025" w:rsidRPr="00862771">
        <w:rPr>
          <w:sz w:val="24"/>
          <w:szCs w:val="24"/>
        </w:rPr>
        <w:t>13</w:t>
      </w:r>
      <w:r w:rsidR="00862771">
        <w:rPr>
          <w:sz w:val="24"/>
          <w:szCs w:val="24"/>
        </w:rPr>
        <w:t>1</w:t>
      </w:r>
      <w:r w:rsidRPr="00862771">
        <w:rPr>
          <w:sz w:val="24"/>
          <w:szCs w:val="24"/>
        </w:rPr>
        <w:t xml:space="preserve">,000 </w:t>
      </w:r>
      <w:r w:rsidR="00862771">
        <w:rPr>
          <w:sz w:val="24"/>
          <w:szCs w:val="24"/>
        </w:rPr>
        <w:t>(MFJ)</w:t>
      </w:r>
      <w:r w:rsidRPr="00862771">
        <w:rPr>
          <w:sz w:val="24"/>
          <w:szCs w:val="24"/>
        </w:rPr>
        <w:t xml:space="preserve"> and $</w:t>
      </w:r>
      <w:r w:rsidR="006A5CC3" w:rsidRPr="00862771">
        <w:rPr>
          <w:sz w:val="24"/>
          <w:szCs w:val="24"/>
        </w:rPr>
        <w:t>5</w:t>
      </w:r>
      <w:r w:rsidR="00494025" w:rsidRPr="00862771">
        <w:rPr>
          <w:sz w:val="24"/>
          <w:szCs w:val="24"/>
        </w:rPr>
        <w:t>5</w:t>
      </w:r>
      <w:r w:rsidR="00862771">
        <w:rPr>
          <w:sz w:val="24"/>
          <w:szCs w:val="24"/>
        </w:rPr>
        <w:t>,000-</w:t>
      </w:r>
      <w:r w:rsidRPr="00862771">
        <w:rPr>
          <w:sz w:val="24"/>
          <w:szCs w:val="24"/>
        </w:rPr>
        <w:t>$</w:t>
      </w:r>
      <w:r w:rsidR="00494025" w:rsidRPr="00862771">
        <w:rPr>
          <w:sz w:val="24"/>
          <w:szCs w:val="24"/>
        </w:rPr>
        <w:t>65</w:t>
      </w:r>
      <w:r w:rsidR="00862771">
        <w:rPr>
          <w:sz w:val="24"/>
          <w:szCs w:val="24"/>
        </w:rPr>
        <w:t xml:space="preserve">,000 (all others) </w:t>
      </w:r>
    </w:p>
    <w:p w:rsidR="00862771" w:rsidRPr="00862771" w:rsidRDefault="00862771" w:rsidP="00862771">
      <w:pPr>
        <w:rPr>
          <w:sz w:val="24"/>
          <w:szCs w:val="24"/>
        </w:rPr>
      </w:pPr>
    </w:p>
    <w:p w:rsidR="00380FEE" w:rsidRPr="00862771" w:rsidRDefault="00380FEE" w:rsidP="00862771">
      <w:pPr>
        <w:rPr>
          <w:sz w:val="24"/>
          <w:szCs w:val="24"/>
        </w:rPr>
      </w:pPr>
      <w:r w:rsidRPr="00862771">
        <w:rPr>
          <w:sz w:val="24"/>
          <w:szCs w:val="24"/>
        </w:rPr>
        <w:t xml:space="preserve">Students cannot claim both credits in the same year, but if more than one student is eligible for the credits, both </w:t>
      </w:r>
      <w:r w:rsidR="00494025" w:rsidRPr="00862771">
        <w:rPr>
          <w:sz w:val="24"/>
          <w:szCs w:val="24"/>
        </w:rPr>
        <w:t>credits</w:t>
      </w:r>
      <w:r w:rsidRPr="00862771">
        <w:rPr>
          <w:sz w:val="24"/>
          <w:szCs w:val="24"/>
        </w:rPr>
        <w:t xml:space="preserve"> can be claimed</w:t>
      </w:r>
      <w:r w:rsidR="00494025" w:rsidRPr="00862771">
        <w:rPr>
          <w:sz w:val="24"/>
          <w:szCs w:val="24"/>
        </w:rPr>
        <w:t xml:space="preserve">, as appropriate, for each </w:t>
      </w:r>
      <w:r w:rsidR="00BB00E6" w:rsidRPr="00862771">
        <w:rPr>
          <w:sz w:val="24"/>
          <w:szCs w:val="24"/>
        </w:rPr>
        <w:t>student</w:t>
      </w:r>
      <w:r w:rsidRPr="00862771">
        <w:rPr>
          <w:sz w:val="24"/>
          <w:szCs w:val="24"/>
        </w:rPr>
        <w:t xml:space="preserve">.  </w:t>
      </w:r>
    </w:p>
    <w:p w:rsidR="00380FEE" w:rsidRDefault="00380FEE">
      <w:pPr>
        <w:rPr>
          <w:sz w:val="24"/>
          <w:szCs w:val="24"/>
        </w:rPr>
      </w:pPr>
    </w:p>
    <w:p w:rsidR="00380FEE" w:rsidRDefault="00380FEE">
      <w:pPr>
        <w:rPr>
          <w:sz w:val="24"/>
          <w:szCs w:val="24"/>
        </w:rPr>
      </w:pPr>
    </w:p>
    <w:p w:rsidR="00862771" w:rsidRDefault="00862771">
      <w:pPr>
        <w:rPr>
          <w:sz w:val="24"/>
          <w:szCs w:val="24"/>
        </w:rPr>
      </w:pPr>
    </w:p>
    <w:p w:rsidR="00380FEE" w:rsidRDefault="009B2CC0">
      <w:pPr>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6</w:t>
      </w:r>
      <w:r w:rsidR="00380FEE">
        <w:rPr>
          <w:b/>
          <w:bCs/>
          <w:sz w:val="24"/>
          <w:szCs w:val="24"/>
          <w:u w:val="single"/>
        </w:rPr>
        <w:tab/>
        <w:t>Foreign Tax Credit</w:t>
      </w:r>
    </w:p>
    <w:p w:rsidR="00862771" w:rsidRDefault="00380FEE">
      <w:pPr>
        <w:rPr>
          <w:sz w:val="24"/>
          <w:szCs w:val="24"/>
        </w:rPr>
      </w:pPr>
      <w:r>
        <w:rPr>
          <w:sz w:val="24"/>
          <w:szCs w:val="24"/>
        </w:rPr>
        <w:t xml:space="preserve">U.S. taxpayers are allowed a credit for the taxes paid to other countries.   </w:t>
      </w:r>
    </w:p>
    <w:p w:rsidR="00862771" w:rsidRDefault="00380FEE" w:rsidP="00862771">
      <w:pPr>
        <w:pStyle w:val="ListParagraph"/>
        <w:numPr>
          <w:ilvl w:val="0"/>
          <w:numId w:val="9"/>
        </w:numPr>
        <w:rPr>
          <w:sz w:val="24"/>
          <w:szCs w:val="24"/>
        </w:rPr>
      </w:pPr>
      <w:r w:rsidRPr="00862771">
        <w:rPr>
          <w:sz w:val="24"/>
          <w:szCs w:val="24"/>
        </w:rPr>
        <w:t xml:space="preserve">The purpose is to eliminate double taxation.  </w:t>
      </w:r>
    </w:p>
    <w:p w:rsidR="00862771" w:rsidRDefault="00862771" w:rsidP="00862771">
      <w:pPr>
        <w:pStyle w:val="ListParagraph"/>
        <w:numPr>
          <w:ilvl w:val="0"/>
          <w:numId w:val="9"/>
        </w:numPr>
        <w:rPr>
          <w:sz w:val="24"/>
          <w:szCs w:val="24"/>
        </w:rPr>
      </w:pPr>
      <w:r>
        <w:rPr>
          <w:sz w:val="24"/>
          <w:szCs w:val="24"/>
        </w:rPr>
        <w:t>Taxpayer can take credit – amount of taxes paid to foreign governments</w:t>
      </w:r>
    </w:p>
    <w:p w:rsidR="007D7477" w:rsidRDefault="00862771" w:rsidP="00862771">
      <w:pPr>
        <w:pStyle w:val="ListParagraph"/>
        <w:numPr>
          <w:ilvl w:val="1"/>
          <w:numId w:val="9"/>
        </w:numPr>
        <w:rPr>
          <w:sz w:val="24"/>
          <w:szCs w:val="24"/>
        </w:rPr>
      </w:pPr>
      <w:r>
        <w:rPr>
          <w:sz w:val="24"/>
          <w:szCs w:val="24"/>
        </w:rPr>
        <w:t>“Overall” limitation</w:t>
      </w:r>
      <w:r w:rsidR="007D7477">
        <w:rPr>
          <w:sz w:val="24"/>
          <w:szCs w:val="24"/>
        </w:rPr>
        <w:t xml:space="preserve"> </w:t>
      </w:r>
      <w:r>
        <w:rPr>
          <w:sz w:val="24"/>
          <w:szCs w:val="24"/>
        </w:rPr>
        <w:t xml:space="preserve">on amount of credit, based on ratio of </w:t>
      </w:r>
    </w:p>
    <w:p w:rsidR="00862771" w:rsidRPr="007D7477" w:rsidRDefault="007D7477" w:rsidP="007D7477">
      <w:pPr>
        <w:ind w:left="1080"/>
        <w:rPr>
          <w:i/>
          <w:sz w:val="24"/>
          <w:szCs w:val="24"/>
        </w:rPr>
      </w:pPr>
      <w:r w:rsidRPr="007D7477">
        <w:rPr>
          <w:i/>
          <w:sz w:val="24"/>
          <w:szCs w:val="24"/>
        </w:rPr>
        <w:t>N</w:t>
      </w:r>
      <w:r w:rsidR="00862771" w:rsidRPr="007D7477">
        <w:rPr>
          <w:i/>
          <w:sz w:val="24"/>
          <w:szCs w:val="24"/>
        </w:rPr>
        <w:t>et foreign income/US taxable income</w:t>
      </w:r>
      <w:r w:rsidRPr="007D7477">
        <w:rPr>
          <w:i/>
          <w:sz w:val="24"/>
          <w:szCs w:val="24"/>
        </w:rPr>
        <w:t xml:space="preserve"> x </w:t>
      </w:r>
      <w:r w:rsidR="00862771" w:rsidRPr="007D7477">
        <w:rPr>
          <w:i/>
          <w:sz w:val="24"/>
          <w:szCs w:val="24"/>
        </w:rPr>
        <w:t>US tax liability</w:t>
      </w:r>
    </w:p>
    <w:p w:rsidR="00862771" w:rsidRDefault="00380FEE" w:rsidP="00862771">
      <w:pPr>
        <w:pStyle w:val="ListParagraph"/>
        <w:numPr>
          <w:ilvl w:val="0"/>
          <w:numId w:val="9"/>
        </w:numPr>
        <w:rPr>
          <w:sz w:val="24"/>
          <w:szCs w:val="24"/>
        </w:rPr>
      </w:pPr>
      <w:r w:rsidRPr="00862771">
        <w:rPr>
          <w:sz w:val="24"/>
          <w:szCs w:val="24"/>
        </w:rPr>
        <w:t xml:space="preserve">Unused foreign tax credits can be carried back </w:t>
      </w:r>
      <w:r w:rsidR="00494025" w:rsidRPr="00862771">
        <w:rPr>
          <w:sz w:val="24"/>
          <w:szCs w:val="24"/>
        </w:rPr>
        <w:t>one</w:t>
      </w:r>
      <w:r w:rsidRPr="00862771">
        <w:rPr>
          <w:sz w:val="24"/>
          <w:szCs w:val="24"/>
        </w:rPr>
        <w:t xml:space="preserve"> year</w:t>
      </w:r>
      <w:r w:rsidR="00494025" w:rsidRPr="00862771">
        <w:rPr>
          <w:sz w:val="24"/>
          <w:szCs w:val="24"/>
        </w:rPr>
        <w:t xml:space="preserve"> or carried forward ten</w:t>
      </w:r>
      <w:r w:rsidRPr="00862771">
        <w:rPr>
          <w:sz w:val="24"/>
          <w:szCs w:val="24"/>
        </w:rPr>
        <w:t xml:space="preserve"> years</w:t>
      </w:r>
      <w:r w:rsidR="00494025" w:rsidRPr="00862771">
        <w:rPr>
          <w:sz w:val="24"/>
          <w:szCs w:val="24"/>
        </w:rPr>
        <w:t xml:space="preserve">  </w:t>
      </w:r>
    </w:p>
    <w:p w:rsidR="00380FEE" w:rsidRPr="00862771" w:rsidRDefault="007D7477" w:rsidP="00862771">
      <w:pPr>
        <w:pStyle w:val="ListParagraph"/>
        <w:numPr>
          <w:ilvl w:val="0"/>
          <w:numId w:val="9"/>
        </w:numPr>
        <w:rPr>
          <w:sz w:val="24"/>
          <w:szCs w:val="24"/>
        </w:rPr>
      </w:pPr>
      <w:r>
        <w:rPr>
          <w:sz w:val="24"/>
          <w:szCs w:val="24"/>
        </w:rPr>
        <w:t>C</w:t>
      </w:r>
      <w:r w:rsidR="00494025" w:rsidRPr="00862771">
        <w:rPr>
          <w:sz w:val="24"/>
          <w:szCs w:val="24"/>
        </w:rPr>
        <w:t xml:space="preserve">ommonly seen on foreign taxes withheld on dividends from foreign stock investments. </w:t>
      </w:r>
      <w:r w:rsidR="00380FEE" w:rsidRPr="00862771">
        <w:rPr>
          <w:sz w:val="24"/>
          <w:szCs w:val="24"/>
        </w:rPr>
        <w:t xml:space="preserve">  </w:t>
      </w:r>
    </w:p>
    <w:p w:rsidR="00380FEE" w:rsidRDefault="00380FEE">
      <w:pPr>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7</w:t>
      </w:r>
      <w:r w:rsidR="00380FEE">
        <w:rPr>
          <w:b/>
          <w:bCs/>
          <w:sz w:val="24"/>
          <w:szCs w:val="24"/>
          <w:u w:val="single"/>
        </w:rPr>
        <w:tab/>
        <w:t>Adoption Expenses</w:t>
      </w:r>
    </w:p>
    <w:p w:rsidR="00456557" w:rsidRDefault="00380FEE">
      <w:pPr>
        <w:rPr>
          <w:sz w:val="24"/>
          <w:szCs w:val="24"/>
        </w:rPr>
      </w:pPr>
      <w:r>
        <w:rPr>
          <w:sz w:val="24"/>
          <w:szCs w:val="24"/>
        </w:rPr>
        <w:t xml:space="preserve">Individuals are allowed </w:t>
      </w:r>
      <w:r w:rsidR="00456557">
        <w:rPr>
          <w:sz w:val="24"/>
          <w:szCs w:val="24"/>
        </w:rPr>
        <w:t>a</w:t>
      </w:r>
      <w:r>
        <w:rPr>
          <w:sz w:val="24"/>
          <w:szCs w:val="24"/>
        </w:rPr>
        <w:t xml:space="preserve"> credit for qualified adopt</w:t>
      </w:r>
      <w:r w:rsidR="00E207DB">
        <w:rPr>
          <w:sz w:val="24"/>
          <w:szCs w:val="24"/>
        </w:rPr>
        <w:t>ion expense equal to $13,4</w:t>
      </w:r>
      <w:r w:rsidR="00456557">
        <w:rPr>
          <w:sz w:val="24"/>
          <w:szCs w:val="24"/>
        </w:rPr>
        <w:t>6</w:t>
      </w:r>
      <w:r w:rsidR="00E207DB">
        <w:rPr>
          <w:sz w:val="24"/>
          <w:szCs w:val="24"/>
        </w:rPr>
        <w:t xml:space="preserve">0 </w:t>
      </w:r>
      <w:r>
        <w:rPr>
          <w:sz w:val="24"/>
          <w:szCs w:val="24"/>
        </w:rPr>
        <w:t xml:space="preserve">credit per adopted child. </w:t>
      </w:r>
    </w:p>
    <w:p w:rsidR="00456557" w:rsidRDefault="00456557" w:rsidP="00456557">
      <w:pPr>
        <w:pStyle w:val="ListParagraph"/>
        <w:numPr>
          <w:ilvl w:val="0"/>
          <w:numId w:val="10"/>
        </w:numPr>
        <w:rPr>
          <w:sz w:val="24"/>
          <w:szCs w:val="24"/>
        </w:rPr>
      </w:pPr>
      <w:r>
        <w:rPr>
          <w:sz w:val="24"/>
          <w:szCs w:val="24"/>
        </w:rPr>
        <w:t>P</w:t>
      </w:r>
      <w:r w:rsidR="00380FEE" w:rsidRPr="00456557">
        <w:rPr>
          <w:sz w:val="24"/>
          <w:szCs w:val="24"/>
        </w:rPr>
        <w:t>hase-out</w:t>
      </w:r>
      <w:r>
        <w:rPr>
          <w:sz w:val="24"/>
          <w:szCs w:val="24"/>
        </w:rPr>
        <w:t>s apply</w:t>
      </w:r>
    </w:p>
    <w:p w:rsidR="00456557" w:rsidRDefault="00380FEE" w:rsidP="00456557">
      <w:pPr>
        <w:pStyle w:val="ListParagraph"/>
        <w:numPr>
          <w:ilvl w:val="0"/>
          <w:numId w:val="10"/>
        </w:numPr>
        <w:rPr>
          <w:sz w:val="24"/>
          <w:szCs w:val="24"/>
        </w:rPr>
      </w:pPr>
      <w:r w:rsidRPr="00456557">
        <w:rPr>
          <w:sz w:val="24"/>
          <w:szCs w:val="24"/>
        </w:rPr>
        <w:t xml:space="preserve">Qualified adoption expenses </w:t>
      </w:r>
      <w:r w:rsidR="00E207DB" w:rsidRPr="00456557">
        <w:rPr>
          <w:sz w:val="24"/>
          <w:szCs w:val="24"/>
        </w:rPr>
        <w:t>include</w:t>
      </w:r>
      <w:r w:rsidRPr="00456557">
        <w:rPr>
          <w:sz w:val="24"/>
          <w:szCs w:val="24"/>
        </w:rPr>
        <w:t xml:space="preserve"> reasonable and necessary adoption fees, court costs, attorney fees and other expenses directly related to and the principal purpose of which is for the taxpayer’s legal adoption of an eligible child.  </w:t>
      </w:r>
    </w:p>
    <w:p w:rsidR="007D78A5" w:rsidRDefault="007D78A5">
      <w:pPr>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8</w:t>
      </w:r>
      <w:r w:rsidR="009319A5">
        <w:rPr>
          <w:b/>
          <w:bCs/>
          <w:sz w:val="24"/>
          <w:szCs w:val="24"/>
          <w:u w:val="single"/>
        </w:rPr>
        <w:tab/>
      </w:r>
      <w:r w:rsidR="00C75B93">
        <w:rPr>
          <w:b/>
          <w:bCs/>
          <w:sz w:val="24"/>
          <w:szCs w:val="24"/>
          <w:u w:val="single"/>
        </w:rPr>
        <w:t xml:space="preserve">Energy Credits </w:t>
      </w:r>
    </w:p>
    <w:p w:rsidR="00456557" w:rsidRDefault="002A69DC" w:rsidP="001E67DD">
      <w:pPr>
        <w:rPr>
          <w:sz w:val="24"/>
          <w:szCs w:val="24"/>
        </w:rPr>
      </w:pPr>
      <w:r>
        <w:rPr>
          <w:sz w:val="24"/>
          <w:szCs w:val="24"/>
        </w:rPr>
        <w:t>To encourage the use of energy-</w:t>
      </w:r>
      <w:r w:rsidR="007D51C5">
        <w:rPr>
          <w:sz w:val="24"/>
          <w:szCs w:val="24"/>
        </w:rPr>
        <w:t xml:space="preserve">efficient products, </w:t>
      </w:r>
      <w:r w:rsidR="00603559">
        <w:rPr>
          <w:sz w:val="24"/>
          <w:szCs w:val="24"/>
        </w:rPr>
        <w:t xml:space="preserve">there are two </w:t>
      </w:r>
      <w:r>
        <w:rPr>
          <w:sz w:val="24"/>
          <w:szCs w:val="24"/>
        </w:rPr>
        <w:t>major</w:t>
      </w:r>
      <w:r w:rsidR="006D5106">
        <w:rPr>
          <w:sz w:val="24"/>
          <w:szCs w:val="24"/>
        </w:rPr>
        <w:t xml:space="preserve"> energy credits </w:t>
      </w:r>
      <w:r w:rsidR="00603559">
        <w:rPr>
          <w:sz w:val="24"/>
          <w:szCs w:val="24"/>
        </w:rPr>
        <w:t xml:space="preserve">available in </w:t>
      </w:r>
      <w:r w:rsidR="006A5CC3">
        <w:rPr>
          <w:sz w:val="24"/>
          <w:szCs w:val="24"/>
        </w:rPr>
        <w:t>201</w:t>
      </w:r>
      <w:r w:rsidR="00456557">
        <w:rPr>
          <w:sz w:val="24"/>
          <w:szCs w:val="24"/>
        </w:rPr>
        <w:t>6</w:t>
      </w:r>
      <w:r w:rsidR="007D51C5" w:rsidRPr="001E67DD">
        <w:rPr>
          <w:sz w:val="24"/>
          <w:szCs w:val="24"/>
        </w:rPr>
        <w:t xml:space="preserve">.  </w:t>
      </w:r>
    </w:p>
    <w:p w:rsidR="00456557" w:rsidRDefault="00456557" w:rsidP="00456557">
      <w:pPr>
        <w:pStyle w:val="ListParagraph"/>
        <w:numPr>
          <w:ilvl w:val="0"/>
          <w:numId w:val="11"/>
        </w:numPr>
        <w:rPr>
          <w:sz w:val="24"/>
          <w:szCs w:val="24"/>
        </w:rPr>
      </w:pPr>
      <w:r w:rsidRPr="007D7477">
        <w:rPr>
          <w:i/>
          <w:sz w:val="24"/>
          <w:szCs w:val="24"/>
        </w:rPr>
        <w:t>P</w:t>
      </w:r>
      <w:r w:rsidR="006A5CC3" w:rsidRPr="007D7477">
        <w:rPr>
          <w:i/>
          <w:sz w:val="24"/>
          <w:szCs w:val="24"/>
        </w:rPr>
        <w:t>lug-in electric</w:t>
      </w:r>
      <w:r w:rsidR="002A69DC" w:rsidRPr="007D7477">
        <w:rPr>
          <w:i/>
          <w:sz w:val="24"/>
          <w:szCs w:val="24"/>
        </w:rPr>
        <w:t xml:space="preserve"> vehicle credit</w:t>
      </w:r>
      <w:r w:rsidR="002A69DC" w:rsidRPr="00456557">
        <w:rPr>
          <w:sz w:val="24"/>
          <w:szCs w:val="24"/>
        </w:rPr>
        <w:t xml:space="preserve"> applies to the purchase of </w:t>
      </w:r>
      <w:r w:rsidR="006A5CC3" w:rsidRPr="00456557">
        <w:rPr>
          <w:sz w:val="24"/>
          <w:szCs w:val="24"/>
        </w:rPr>
        <w:t>plug-in electric vehicles</w:t>
      </w:r>
      <w:r w:rsidR="002A69DC" w:rsidRPr="00456557">
        <w:rPr>
          <w:sz w:val="24"/>
          <w:szCs w:val="24"/>
        </w:rPr>
        <w:t xml:space="preserve"> and the credits </w:t>
      </w:r>
      <w:r w:rsidR="006A5CC3" w:rsidRPr="00456557">
        <w:rPr>
          <w:sz w:val="24"/>
          <w:szCs w:val="24"/>
        </w:rPr>
        <w:t>range between $2,500 and $7,500 depending on the weight of the vehicle and the kilowatt hour of traction battery capacity</w:t>
      </w:r>
      <w:r w:rsidR="002A69DC" w:rsidRPr="00456557">
        <w:rPr>
          <w:sz w:val="24"/>
          <w:szCs w:val="24"/>
        </w:rPr>
        <w:t xml:space="preserve">.  </w:t>
      </w:r>
    </w:p>
    <w:p w:rsidR="00456557" w:rsidRDefault="002A69DC" w:rsidP="00456557">
      <w:pPr>
        <w:pStyle w:val="ListParagraph"/>
        <w:numPr>
          <w:ilvl w:val="0"/>
          <w:numId w:val="11"/>
        </w:numPr>
        <w:rPr>
          <w:sz w:val="24"/>
          <w:szCs w:val="24"/>
        </w:rPr>
      </w:pPr>
      <w:r w:rsidRPr="007D7477">
        <w:rPr>
          <w:i/>
          <w:sz w:val="24"/>
          <w:szCs w:val="24"/>
        </w:rPr>
        <w:t>The Residential Energy-Efficient Property (REEP) credit</w:t>
      </w:r>
      <w:r w:rsidRPr="00456557">
        <w:rPr>
          <w:sz w:val="24"/>
          <w:szCs w:val="24"/>
        </w:rPr>
        <w:t xml:space="preserve"> is expected to increase the number of solar and wind energy installations in the coming years.  </w:t>
      </w:r>
    </w:p>
    <w:p w:rsidR="006E406C" w:rsidRDefault="00456557" w:rsidP="00456557">
      <w:pPr>
        <w:pStyle w:val="ListParagraph"/>
        <w:numPr>
          <w:ilvl w:val="1"/>
          <w:numId w:val="11"/>
        </w:numPr>
        <w:rPr>
          <w:sz w:val="24"/>
          <w:szCs w:val="24"/>
        </w:rPr>
      </w:pPr>
      <w:r>
        <w:rPr>
          <w:sz w:val="24"/>
          <w:szCs w:val="24"/>
        </w:rPr>
        <w:t>T</w:t>
      </w:r>
      <w:r w:rsidR="001E67DD" w:rsidRPr="00456557">
        <w:rPr>
          <w:sz w:val="24"/>
          <w:szCs w:val="24"/>
        </w:rPr>
        <w:t>axpayers</w:t>
      </w:r>
      <w:r>
        <w:rPr>
          <w:sz w:val="24"/>
          <w:szCs w:val="24"/>
        </w:rPr>
        <w:t xml:space="preserve"> may claim a credit of 30% </w:t>
      </w:r>
      <w:r w:rsidR="001E67DD" w:rsidRPr="00456557">
        <w:rPr>
          <w:sz w:val="24"/>
          <w:szCs w:val="24"/>
        </w:rPr>
        <w:t xml:space="preserve">of amount paid for </w:t>
      </w:r>
    </w:p>
    <w:p w:rsidR="006E406C" w:rsidRDefault="001E67DD" w:rsidP="006E406C">
      <w:pPr>
        <w:pStyle w:val="ListParagraph"/>
        <w:numPr>
          <w:ilvl w:val="2"/>
          <w:numId w:val="11"/>
        </w:numPr>
        <w:rPr>
          <w:sz w:val="24"/>
          <w:szCs w:val="24"/>
        </w:rPr>
      </w:pPr>
      <w:r w:rsidRPr="00456557">
        <w:rPr>
          <w:sz w:val="24"/>
          <w:szCs w:val="24"/>
        </w:rPr>
        <w:t>qualified solar electric property (property which uses solar power to gene</w:t>
      </w:r>
      <w:r w:rsidR="006E406C">
        <w:rPr>
          <w:sz w:val="24"/>
          <w:szCs w:val="24"/>
        </w:rPr>
        <w:t>rate electricity in a home)</w:t>
      </w:r>
    </w:p>
    <w:p w:rsidR="006E406C" w:rsidRDefault="001E67DD" w:rsidP="006E406C">
      <w:pPr>
        <w:pStyle w:val="ListParagraph"/>
        <w:numPr>
          <w:ilvl w:val="2"/>
          <w:numId w:val="11"/>
        </w:numPr>
        <w:rPr>
          <w:sz w:val="24"/>
          <w:szCs w:val="24"/>
        </w:rPr>
      </w:pPr>
      <w:r w:rsidRPr="00456557">
        <w:rPr>
          <w:sz w:val="24"/>
          <w:szCs w:val="24"/>
        </w:rPr>
        <w:t>qualified</w:t>
      </w:r>
      <w:r w:rsidR="006E406C">
        <w:rPr>
          <w:sz w:val="24"/>
          <w:szCs w:val="24"/>
        </w:rPr>
        <w:t xml:space="preserve"> solar water-heating property</w:t>
      </w:r>
    </w:p>
    <w:p w:rsidR="006E406C" w:rsidRDefault="001E67DD" w:rsidP="006E406C">
      <w:pPr>
        <w:pStyle w:val="ListParagraph"/>
        <w:numPr>
          <w:ilvl w:val="2"/>
          <w:numId w:val="11"/>
        </w:numPr>
        <w:rPr>
          <w:sz w:val="24"/>
          <w:szCs w:val="24"/>
        </w:rPr>
      </w:pPr>
      <w:r w:rsidRPr="00456557">
        <w:rPr>
          <w:sz w:val="24"/>
          <w:szCs w:val="24"/>
        </w:rPr>
        <w:t xml:space="preserve">qualified small wind energy property </w:t>
      </w:r>
    </w:p>
    <w:p w:rsidR="006E406C" w:rsidRDefault="002A69DC" w:rsidP="006E406C">
      <w:pPr>
        <w:pStyle w:val="ListParagraph"/>
        <w:numPr>
          <w:ilvl w:val="2"/>
          <w:numId w:val="11"/>
        </w:numPr>
        <w:rPr>
          <w:sz w:val="24"/>
          <w:szCs w:val="24"/>
        </w:rPr>
      </w:pPr>
      <w:r w:rsidRPr="00456557">
        <w:rPr>
          <w:sz w:val="24"/>
          <w:szCs w:val="24"/>
        </w:rPr>
        <w:t>q</w:t>
      </w:r>
      <w:r w:rsidR="001E67DD" w:rsidRPr="00456557">
        <w:rPr>
          <w:sz w:val="24"/>
          <w:szCs w:val="24"/>
        </w:rPr>
        <w:t>ualified geothermal heat pump property</w:t>
      </w:r>
      <w:r w:rsidRPr="00456557">
        <w:rPr>
          <w:sz w:val="24"/>
          <w:szCs w:val="24"/>
        </w:rPr>
        <w:t>.</w:t>
      </w:r>
      <w:r w:rsidR="001E67DD" w:rsidRPr="00456557">
        <w:rPr>
          <w:sz w:val="24"/>
          <w:szCs w:val="24"/>
        </w:rPr>
        <w:t xml:space="preserve"> </w:t>
      </w:r>
      <w:r w:rsidR="006E406C">
        <w:rPr>
          <w:sz w:val="24"/>
          <w:szCs w:val="24"/>
        </w:rPr>
        <w:tab/>
      </w:r>
    </w:p>
    <w:p w:rsidR="006E406C" w:rsidRPr="006E406C" w:rsidRDefault="006E406C" w:rsidP="006E406C">
      <w:pPr>
        <w:pStyle w:val="ListParagraph"/>
        <w:numPr>
          <w:ilvl w:val="1"/>
          <w:numId w:val="11"/>
        </w:numPr>
        <w:rPr>
          <w:sz w:val="24"/>
          <w:szCs w:val="24"/>
        </w:rPr>
      </w:pPr>
      <w:r>
        <w:rPr>
          <w:sz w:val="24"/>
          <w:szCs w:val="24"/>
        </w:rPr>
        <w:t>M</w:t>
      </w:r>
      <w:r w:rsidR="001E67DD" w:rsidRPr="00456557">
        <w:rPr>
          <w:sz w:val="24"/>
          <w:szCs w:val="24"/>
        </w:rPr>
        <w:t xml:space="preserve">ay be claimed for both principal residences and vacation homes.  </w:t>
      </w:r>
    </w:p>
    <w:p w:rsidR="00380FEE" w:rsidRPr="001E67DD" w:rsidRDefault="00380FEE">
      <w:pPr>
        <w:rPr>
          <w:sz w:val="24"/>
          <w:szCs w:val="24"/>
        </w:rPr>
      </w:pPr>
    </w:p>
    <w:p w:rsidR="00380FEE" w:rsidRDefault="00380FEE">
      <w:pPr>
        <w:rPr>
          <w:b/>
          <w:bCs/>
          <w:sz w:val="24"/>
          <w:szCs w:val="24"/>
          <w:u w:val="single"/>
        </w:rPr>
      </w:pPr>
    </w:p>
    <w:p w:rsidR="009319A5" w:rsidRDefault="009B2CC0" w:rsidP="009319A5">
      <w:pPr>
        <w:keepNext/>
        <w:rPr>
          <w:b/>
          <w:bCs/>
          <w:sz w:val="24"/>
          <w:szCs w:val="24"/>
          <w:u w:val="single"/>
        </w:rPr>
      </w:pPr>
      <w:r>
        <w:rPr>
          <w:b/>
          <w:bCs/>
          <w:sz w:val="24"/>
          <w:szCs w:val="24"/>
          <w:u w:val="single"/>
        </w:rPr>
        <w:t>Learning Objective</w:t>
      </w:r>
      <w:r w:rsidR="009319A5">
        <w:rPr>
          <w:b/>
          <w:bCs/>
          <w:sz w:val="24"/>
          <w:szCs w:val="24"/>
          <w:u w:val="single"/>
        </w:rPr>
        <w:t xml:space="preserve"> 6.</w:t>
      </w:r>
      <w:r w:rsidR="006A5CC3">
        <w:rPr>
          <w:b/>
          <w:bCs/>
          <w:sz w:val="24"/>
          <w:szCs w:val="24"/>
          <w:u w:val="single"/>
        </w:rPr>
        <w:t>9</w:t>
      </w:r>
      <w:r w:rsidR="009319A5">
        <w:rPr>
          <w:b/>
          <w:bCs/>
          <w:sz w:val="24"/>
          <w:szCs w:val="24"/>
          <w:u w:val="single"/>
        </w:rPr>
        <w:tab/>
        <w:t>The Individual Alternative Minimum Tax (AMT)</w:t>
      </w:r>
    </w:p>
    <w:p w:rsidR="006E406C" w:rsidRDefault="009319A5" w:rsidP="009319A5">
      <w:pPr>
        <w:rPr>
          <w:sz w:val="24"/>
          <w:szCs w:val="24"/>
        </w:rPr>
      </w:pPr>
      <w:r>
        <w:rPr>
          <w:sz w:val="24"/>
          <w:szCs w:val="24"/>
        </w:rPr>
        <w:t xml:space="preserve">The </w:t>
      </w:r>
      <w:r w:rsidR="007D7477">
        <w:rPr>
          <w:sz w:val="24"/>
          <w:szCs w:val="24"/>
        </w:rPr>
        <w:t>IRS</w:t>
      </w:r>
      <w:r>
        <w:rPr>
          <w:sz w:val="24"/>
          <w:szCs w:val="24"/>
        </w:rPr>
        <w:t xml:space="preserve"> Service has created a minimum tax to insure that every taxpayer with economic income pays at least some amount of income tax.  </w:t>
      </w:r>
    </w:p>
    <w:p w:rsidR="006E406C" w:rsidRDefault="006E406C" w:rsidP="006E406C">
      <w:pPr>
        <w:pStyle w:val="ListParagraph"/>
        <w:numPr>
          <w:ilvl w:val="0"/>
          <w:numId w:val="12"/>
        </w:numPr>
        <w:rPr>
          <w:sz w:val="24"/>
          <w:szCs w:val="24"/>
        </w:rPr>
      </w:pPr>
      <w:r w:rsidRPr="006E406C">
        <w:rPr>
          <w:sz w:val="24"/>
          <w:szCs w:val="24"/>
        </w:rPr>
        <w:t>2016</w:t>
      </w:r>
      <w:r w:rsidR="00A26F1A" w:rsidRPr="006E406C">
        <w:rPr>
          <w:sz w:val="24"/>
          <w:szCs w:val="24"/>
        </w:rPr>
        <w:t xml:space="preserve"> </w:t>
      </w:r>
      <w:r>
        <w:rPr>
          <w:sz w:val="24"/>
          <w:szCs w:val="24"/>
        </w:rPr>
        <w:t xml:space="preserve">AMT rates are 26% </w:t>
      </w:r>
      <w:r w:rsidR="009319A5" w:rsidRPr="006E406C">
        <w:rPr>
          <w:sz w:val="24"/>
          <w:szCs w:val="24"/>
        </w:rPr>
        <w:t>on the first $</w:t>
      </w:r>
      <w:r w:rsidR="009A7F30" w:rsidRPr="006E406C">
        <w:rPr>
          <w:sz w:val="24"/>
          <w:szCs w:val="24"/>
        </w:rPr>
        <w:t>18</w:t>
      </w:r>
      <w:r>
        <w:rPr>
          <w:sz w:val="24"/>
          <w:szCs w:val="24"/>
        </w:rPr>
        <w:t>6,3</w:t>
      </w:r>
      <w:r w:rsidR="006A5CC3" w:rsidRPr="006E406C">
        <w:rPr>
          <w:sz w:val="24"/>
          <w:szCs w:val="24"/>
        </w:rPr>
        <w:t>00</w:t>
      </w:r>
      <w:r w:rsidR="009319A5" w:rsidRPr="006E406C">
        <w:rPr>
          <w:sz w:val="24"/>
          <w:szCs w:val="24"/>
        </w:rPr>
        <w:t xml:space="preserve"> </w:t>
      </w:r>
      <w:r w:rsidR="00A26F1A" w:rsidRPr="006E406C">
        <w:rPr>
          <w:sz w:val="24"/>
          <w:szCs w:val="24"/>
        </w:rPr>
        <w:t>($</w:t>
      </w:r>
      <w:r>
        <w:rPr>
          <w:sz w:val="24"/>
          <w:szCs w:val="24"/>
        </w:rPr>
        <w:t>93,15</w:t>
      </w:r>
      <w:r w:rsidR="006A5CC3" w:rsidRPr="006E406C">
        <w:rPr>
          <w:sz w:val="24"/>
          <w:szCs w:val="24"/>
        </w:rPr>
        <w:t>0</w:t>
      </w:r>
      <w:r w:rsidR="00A26F1A" w:rsidRPr="006E406C">
        <w:rPr>
          <w:sz w:val="24"/>
          <w:szCs w:val="24"/>
        </w:rPr>
        <w:t xml:space="preserve"> – MFS)</w:t>
      </w:r>
      <w:r w:rsidR="006A5CC3" w:rsidRPr="006E406C">
        <w:rPr>
          <w:sz w:val="24"/>
          <w:szCs w:val="24"/>
        </w:rPr>
        <w:t xml:space="preserve"> </w:t>
      </w:r>
      <w:r w:rsidR="00A26F1A" w:rsidRPr="006E406C">
        <w:rPr>
          <w:sz w:val="24"/>
          <w:szCs w:val="24"/>
        </w:rPr>
        <w:t xml:space="preserve">plus </w:t>
      </w:r>
      <w:r>
        <w:rPr>
          <w:sz w:val="24"/>
          <w:szCs w:val="24"/>
        </w:rPr>
        <w:t xml:space="preserve">28% </w:t>
      </w:r>
      <w:r w:rsidR="009319A5" w:rsidRPr="006E406C">
        <w:rPr>
          <w:sz w:val="24"/>
          <w:szCs w:val="24"/>
        </w:rPr>
        <w:t>on the amounts above $</w:t>
      </w:r>
      <w:r>
        <w:rPr>
          <w:sz w:val="24"/>
          <w:szCs w:val="24"/>
        </w:rPr>
        <w:t>186,3</w:t>
      </w:r>
      <w:r w:rsidR="006A5CC3" w:rsidRPr="006E406C">
        <w:rPr>
          <w:sz w:val="24"/>
          <w:szCs w:val="24"/>
        </w:rPr>
        <w:t>00</w:t>
      </w:r>
      <w:r w:rsidR="009319A5" w:rsidRPr="006E406C">
        <w:rPr>
          <w:sz w:val="24"/>
          <w:szCs w:val="24"/>
        </w:rPr>
        <w:t xml:space="preserve">.  </w:t>
      </w:r>
    </w:p>
    <w:p w:rsidR="006E406C" w:rsidRDefault="009319A5" w:rsidP="006E406C">
      <w:pPr>
        <w:pStyle w:val="ListParagraph"/>
        <w:numPr>
          <w:ilvl w:val="0"/>
          <w:numId w:val="12"/>
        </w:numPr>
        <w:rPr>
          <w:sz w:val="24"/>
          <w:szCs w:val="24"/>
        </w:rPr>
      </w:pPr>
      <w:r w:rsidRPr="006E406C">
        <w:rPr>
          <w:sz w:val="24"/>
          <w:szCs w:val="24"/>
        </w:rPr>
        <w:t>AMT is based on taxable income plus or minus certain adjustments, adding the amount of “tax preferences” and subtracting an exemption allowance based on tax filing status.</w:t>
      </w:r>
      <w:r w:rsidR="009A7F30" w:rsidRPr="006E406C">
        <w:rPr>
          <w:sz w:val="24"/>
          <w:szCs w:val="24"/>
        </w:rPr>
        <w:t xml:space="preserve">  </w:t>
      </w:r>
    </w:p>
    <w:p w:rsidR="009319A5" w:rsidRPr="006E406C" w:rsidRDefault="009A7F30" w:rsidP="006E406C">
      <w:pPr>
        <w:pStyle w:val="ListParagraph"/>
        <w:numPr>
          <w:ilvl w:val="1"/>
          <w:numId w:val="12"/>
        </w:numPr>
        <w:rPr>
          <w:sz w:val="24"/>
          <w:szCs w:val="24"/>
        </w:rPr>
      </w:pPr>
      <w:r w:rsidRPr="006E406C">
        <w:rPr>
          <w:sz w:val="24"/>
          <w:szCs w:val="24"/>
        </w:rPr>
        <w:t>For 201</w:t>
      </w:r>
      <w:r w:rsidR="006E406C">
        <w:rPr>
          <w:sz w:val="24"/>
          <w:szCs w:val="24"/>
        </w:rPr>
        <w:t>6</w:t>
      </w:r>
      <w:r w:rsidRPr="006E406C">
        <w:rPr>
          <w:sz w:val="24"/>
          <w:szCs w:val="24"/>
        </w:rPr>
        <w:t xml:space="preserve">, the </w:t>
      </w:r>
      <w:r w:rsidR="006E406C">
        <w:rPr>
          <w:sz w:val="24"/>
          <w:szCs w:val="24"/>
        </w:rPr>
        <w:t>AMT exemption allowance is $83,800 (MFJ), $53,900 (S and HOH) and $41,9</w:t>
      </w:r>
      <w:r w:rsidRPr="006E406C">
        <w:rPr>
          <w:sz w:val="24"/>
          <w:szCs w:val="24"/>
        </w:rPr>
        <w:t>00 (MFS) with phase-outs for high income taxpayers.</w:t>
      </w:r>
      <w:r w:rsidR="009319A5" w:rsidRPr="006E406C">
        <w:rPr>
          <w:sz w:val="24"/>
          <w:szCs w:val="24"/>
        </w:rPr>
        <w:t xml:space="preserve">  </w:t>
      </w:r>
    </w:p>
    <w:p w:rsidR="009319A5" w:rsidRDefault="009319A5" w:rsidP="009319A5">
      <w:pPr>
        <w:rPr>
          <w:b/>
          <w:bCs/>
          <w:sz w:val="24"/>
          <w:szCs w:val="24"/>
          <w:u w:val="single"/>
        </w:rPr>
      </w:pPr>
    </w:p>
    <w:p w:rsidR="00380FEE" w:rsidRDefault="00380FEE">
      <w:pPr>
        <w:rPr>
          <w:b/>
          <w:bCs/>
          <w:sz w:val="24"/>
          <w:szCs w:val="24"/>
          <w:u w:val="single"/>
        </w:rPr>
      </w:pPr>
    </w:p>
    <w:p w:rsidR="006E406C" w:rsidRDefault="006E406C">
      <w:pPr>
        <w:rPr>
          <w:b/>
          <w:bCs/>
          <w:sz w:val="24"/>
          <w:szCs w:val="24"/>
          <w:u w:val="single"/>
        </w:rPr>
      </w:pPr>
    </w:p>
    <w:p w:rsidR="006E406C" w:rsidRDefault="006E406C">
      <w:pPr>
        <w:rPr>
          <w:b/>
          <w:bCs/>
          <w:sz w:val="24"/>
          <w:szCs w:val="24"/>
          <w:u w:val="single"/>
        </w:rPr>
      </w:pPr>
    </w:p>
    <w:p w:rsidR="00380FEE" w:rsidRDefault="009B2CC0">
      <w:pPr>
        <w:rPr>
          <w:sz w:val="24"/>
          <w:szCs w:val="24"/>
        </w:rPr>
      </w:pPr>
      <w:r>
        <w:rPr>
          <w:b/>
          <w:bCs/>
          <w:sz w:val="24"/>
          <w:szCs w:val="24"/>
          <w:u w:val="single"/>
        </w:rPr>
        <w:lastRenderedPageBreak/>
        <w:t>Learning Objective</w:t>
      </w:r>
      <w:r w:rsidR="009319A5">
        <w:rPr>
          <w:b/>
          <w:bCs/>
          <w:sz w:val="24"/>
          <w:szCs w:val="24"/>
          <w:u w:val="single"/>
        </w:rPr>
        <w:t xml:space="preserve"> 6.</w:t>
      </w:r>
      <w:r w:rsidR="006A5CC3">
        <w:rPr>
          <w:b/>
          <w:bCs/>
          <w:sz w:val="24"/>
          <w:szCs w:val="24"/>
          <w:u w:val="single"/>
        </w:rPr>
        <w:t>10</w:t>
      </w:r>
      <w:r w:rsidR="00380FEE">
        <w:rPr>
          <w:b/>
          <w:bCs/>
          <w:sz w:val="24"/>
          <w:szCs w:val="24"/>
          <w:u w:val="single"/>
        </w:rPr>
        <w:tab/>
        <w:t>Unearned Income of Minor Children</w:t>
      </w:r>
      <w:r w:rsidR="00397B57">
        <w:rPr>
          <w:b/>
          <w:bCs/>
          <w:sz w:val="24"/>
          <w:szCs w:val="24"/>
          <w:u w:val="single"/>
        </w:rPr>
        <w:t xml:space="preserve"> and Certain Students</w:t>
      </w:r>
    </w:p>
    <w:p w:rsidR="006E406C" w:rsidRDefault="00380FEE">
      <w:pPr>
        <w:rPr>
          <w:sz w:val="24"/>
          <w:szCs w:val="24"/>
        </w:rPr>
      </w:pPr>
      <w:r>
        <w:rPr>
          <w:sz w:val="24"/>
          <w:szCs w:val="24"/>
        </w:rPr>
        <w:t xml:space="preserve">Many taxpayers </w:t>
      </w:r>
      <w:r w:rsidR="0044645F">
        <w:rPr>
          <w:sz w:val="24"/>
          <w:szCs w:val="24"/>
        </w:rPr>
        <w:t>have found that putting</w:t>
      </w:r>
      <w:r>
        <w:rPr>
          <w:sz w:val="24"/>
          <w:szCs w:val="24"/>
        </w:rPr>
        <w:t xml:space="preserve"> income-earning assets in the names of children </w:t>
      </w:r>
      <w:r w:rsidR="0044645F">
        <w:rPr>
          <w:sz w:val="24"/>
          <w:szCs w:val="24"/>
        </w:rPr>
        <w:t>lowers tax liability</w:t>
      </w:r>
      <w:r>
        <w:rPr>
          <w:sz w:val="24"/>
          <w:szCs w:val="24"/>
        </w:rPr>
        <w:t>.</w:t>
      </w:r>
      <w:r w:rsidR="0044645F">
        <w:rPr>
          <w:sz w:val="24"/>
          <w:szCs w:val="24"/>
        </w:rPr>
        <w:t xml:space="preserve"> </w:t>
      </w:r>
    </w:p>
    <w:p w:rsidR="006E406C" w:rsidRDefault="00380FEE" w:rsidP="006E406C">
      <w:pPr>
        <w:pStyle w:val="ListParagraph"/>
        <w:numPr>
          <w:ilvl w:val="0"/>
          <w:numId w:val="13"/>
        </w:numPr>
        <w:rPr>
          <w:sz w:val="24"/>
          <w:szCs w:val="24"/>
        </w:rPr>
      </w:pPr>
      <w:r w:rsidRPr="006E406C">
        <w:rPr>
          <w:sz w:val="24"/>
          <w:szCs w:val="24"/>
        </w:rPr>
        <w:t xml:space="preserve">Tax Reform Act of 1986 limits the benefit of shifting income to minor children.  </w:t>
      </w:r>
    </w:p>
    <w:p w:rsidR="006E406C" w:rsidRDefault="00380FEE" w:rsidP="006E406C">
      <w:pPr>
        <w:pStyle w:val="ListParagraph"/>
        <w:numPr>
          <w:ilvl w:val="0"/>
          <w:numId w:val="13"/>
        </w:numPr>
        <w:rPr>
          <w:sz w:val="24"/>
          <w:szCs w:val="24"/>
        </w:rPr>
      </w:pPr>
      <w:r w:rsidRPr="006E406C">
        <w:rPr>
          <w:sz w:val="24"/>
          <w:szCs w:val="24"/>
        </w:rPr>
        <w:t>Ch</w:t>
      </w:r>
      <w:r w:rsidR="00EC73FC" w:rsidRPr="006E406C">
        <w:rPr>
          <w:sz w:val="24"/>
          <w:szCs w:val="24"/>
        </w:rPr>
        <w:t xml:space="preserve">ildren </w:t>
      </w:r>
      <w:r w:rsidR="006E406C">
        <w:rPr>
          <w:sz w:val="24"/>
          <w:szCs w:val="24"/>
        </w:rPr>
        <w:t>under 18</w:t>
      </w:r>
      <w:r w:rsidRPr="006E406C">
        <w:rPr>
          <w:sz w:val="24"/>
          <w:szCs w:val="24"/>
        </w:rPr>
        <w:t xml:space="preserve"> years must pay a</w:t>
      </w:r>
      <w:r w:rsidR="0044645F" w:rsidRPr="006E406C">
        <w:rPr>
          <w:sz w:val="24"/>
          <w:szCs w:val="24"/>
        </w:rPr>
        <w:t xml:space="preserve">t </w:t>
      </w:r>
      <w:r w:rsidR="007D7477">
        <w:rPr>
          <w:sz w:val="24"/>
          <w:szCs w:val="24"/>
        </w:rPr>
        <w:t xml:space="preserve">parents highest marginal rate </w:t>
      </w:r>
      <w:proofErr w:type="gramStart"/>
      <w:r w:rsidR="007D7477">
        <w:rPr>
          <w:sz w:val="24"/>
          <w:szCs w:val="24"/>
        </w:rPr>
        <w:t>-  “</w:t>
      </w:r>
      <w:proofErr w:type="gramEnd"/>
      <w:r w:rsidR="007D7477">
        <w:rPr>
          <w:sz w:val="24"/>
          <w:szCs w:val="24"/>
        </w:rPr>
        <w:t>parental rate”</w:t>
      </w:r>
      <w:r w:rsidRPr="006E406C">
        <w:rPr>
          <w:sz w:val="24"/>
          <w:szCs w:val="24"/>
        </w:rPr>
        <w:t xml:space="preserve"> </w:t>
      </w:r>
    </w:p>
    <w:p w:rsidR="006E406C" w:rsidRDefault="00380FEE" w:rsidP="006E406C">
      <w:pPr>
        <w:pStyle w:val="ListParagraph"/>
        <w:numPr>
          <w:ilvl w:val="0"/>
          <w:numId w:val="13"/>
        </w:numPr>
        <w:rPr>
          <w:sz w:val="24"/>
          <w:szCs w:val="24"/>
        </w:rPr>
      </w:pPr>
      <w:r w:rsidRPr="006E406C">
        <w:rPr>
          <w:sz w:val="24"/>
          <w:szCs w:val="24"/>
        </w:rPr>
        <w:t xml:space="preserve">Parents may also elect to include a child’s gross income </w:t>
      </w:r>
      <w:r w:rsidR="006E406C">
        <w:rPr>
          <w:sz w:val="24"/>
          <w:szCs w:val="24"/>
        </w:rPr>
        <w:t>their</w:t>
      </w:r>
      <w:r w:rsidR="0044645F" w:rsidRPr="006E406C">
        <w:rPr>
          <w:sz w:val="24"/>
          <w:szCs w:val="24"/>
        </w:rPr>
        <w:t xml:space="preserve"> tax return, thereby</w:t>
      </w:r>
      <w:r w:rsidRPr="006E406C">
        <w:rPr>
          <w:sz w:val="24"/>
          <w:szCs w:val="24"/>
        </w:rPr>
        <w:t xml:space="preserve"> eliminating the need to file a return for the child.  </w:t>
      </w:r>
    </w:p>
    <w:p w:rsidR="006E406C" w:rsidRDefault="007D7477" w:rsidP="006E406C">
      <w:pPr>
        <w:pStyle w:val="ListParagraph"/>
        <w:numPr>
          <w:ilvl w:val="1"/>
          <w:numId w:val="13"/>
        </w:numPr>
        <w:rPr>
          <w:sz w:val="24"/>
          <w:szCs w:val="24"/>
        </w:rPr>
      </w:pPr>
      <w:r>
        <w:rPr>
          <w:sz w:val="24"/>
          <w:szCs w:val="24"/>
        </w:rPr>
        <w:t xml:space="preserve">File on </w:t>
      </w:r>
      <w:r w:rsidR="006E406C">
        <w:rPr>
          <w:sz w:val="24"/>
          <w:szCs w:val="24"/>
        </w:rPr>
        <w:t>Form 8615</w:t>
      </w:r>
    </w:p>
    <w:p w:rsidR="006E406C" w:rsidRDefault="00380FEE" w:rsidP="006E406C">
      <w:pPr>
        <w:pStyle w:val="ListParagraph"/>
        <w:numPr>
          <w:ilvl w:val="1"/>
          <w:numId w:val="13"/>
        </w:numPr>
        <w:rPr>
          <w:sz w:val="24"/>
          <w:szCs w:val="24"/>
        </w:rPr>
      </w:pPr>
      <w:r w:rsidRPr="006E406C">
        <w:rPr>
          <w:sz w:val="24"/>
          <w:szCs w:val="24"/>
        </w:rPr>
        <w:t>To make this election</w:t>
      </w:r>
      <w:r w:rsidR="006E406C">
        <w:rPr>
          <w:sz w:val="24"/>
          <w:szCs w:val="24"/>
        </w:rPr>
        <w:t>, the child’s gross income must:</w:t>
      </w:r>
    </w:p>
    <w:p w:rsidR="006E406C" w:rsidRDefault="00380FEE" w:rsidP="006E406C">
      <w:pPr>
        <w:pStyle w:val="ListParagraph"/>
        <w:numPr>
          <w:ilvl w:val="2"/>
          <w:numId w:val="13"/>
        </w:numPr>
        <w:rPr>
          <w:sz w:val="24"/>
          <w:szCs w:val="24"/>
        </w:rPr>
      </w:pPr>
      <w:r w:rsidRPr="006E406C">
        <w:rPr>
          <w:sz w:val="24"/>
          <w:szCs w:val="24"/>
        </w:rPr>
        <w:t>be from interest and divid</w:t>
      </w:r>
      <w:r w:rsidR="006E406C">
        <w:rPr>
          <w:sz w:val="24"/>
          <w:szCs w:val="24"/>
        </w:rPr>
        <w:t>ends only</w:t>
      </w:r>
    </w:p>
    <w:p w:rsidR="006E406C" w:rsidRDefault="00380FEE" w:rsidP="006E406C">
      <w:pPr>
        <w:pStyle w:val="ListParagraph"/>
        <w:numPr>
          <w:ilvl w:val="2"/>
          <w:numId w:val="13"/>
        </w:numPr>
        <w:rPr>
          <w:sz w:val="24"/>
          <w:szCs w:val="24"/>
        </w:rPr>
      </w:pPr>
      <w:r w:rsidRPr="006E406C">
        <w:rPr>
          <w:sz w:val="24"/>
          <w:szCs w:val="24"/>
        </w:rPr>
        <w:t>the gross income is more than $</w:t>
      </w:r>
      <w:r w:rsidR="00A26F1A" w:rsidRPr="006E406C">
        <w:rPr>
          <w:sz w:val="24"/>
          <w:szCs w:val="24"/>
        </w:rPr>
        <w:t>1,0</w:t>
      </w:r>
      <w:r w:rsidR="0044645F" w:rsidRPr="006E406C">
        <w:rPr>
          <w:sz w:val="24"/>
          <w:szCs w:val="24"/>
        </w:rPr>
        <w:t>5</w:t>
      </w:r>
      <w:r w:rsidR="00A26F1A" w:rsidRPr="006E406C">
        <w:rPr>
          <w:sz w:val="24"/>
          <w:szCs w:val="24"/>
        </w:rPr>
        <w:t xml:space="preserve">0 </w:t>
      </w:r>
      <w:r w:rsidRPr="006E406C">
        <w:rPr>
          <w:sz w:val="24"/>
          <w:szCs w:val="24"/>
        </w:rPr>
        <w:t>but less than $</w:t>
      </w:r>
      <w:r w:rsidR="0044645F" w:rsidRPr="006E406C">
        <w:rPr>
          <w:sz w:val="24"/>
          <w:szCs w:val="24"/>
        </w:rPr>
        <w:t>10,5</w:t>
      </w:r>
      <w:r w:rsidR="00A26F1A" w:rsidRPr="006E406C">
        <w:rPr>
          <w:sz w:val="24"/>
          <w:szCs w:val="24"/>
        </w:rPr>
        <w:t>00</w:t>
      </w:r>
      <w:r w:rsidRPr="006E406C">
        <w:rPr>
          <w:sz w:val="24"/>
          <w:szCs w:val="24"/>
        </w:rPr>
        <w:t xml:space="preserve"> and </w:t>
      </w:r>
    </w:p>
    <w:p w:rsidR="00380FEE" w:rsidRPr="006E406C" w:rsidRDefault="00380FEE" w:rsidP="006E406C">
      <w:pPr>
        <w:pStyle w:val="ListParagraph"/>
        <w:numPr>
          <w:ilvl w:val="2"/>
          <w:numId w:val="13"/>
        </w:numPr>
        <w:rPr>
          <w:sz w:val="24"/>
          <w:szCs w:val="24"/>
        </w:rPr>
      </w:pPr>
      <w:r w:rsidRPr="006E406C">
        <w:rPr>
          <w:sz w:val="24"/>
          <w:szCs w:val="24"/>
        </w:rPr>
        <w:t>no estimated tax has bee</w:t>
      </w:r>
      <w:r w:rsidR="007D7477">
        <w:rPr>
          <w:sz w:val="24"/>
          <w:szCs w:val="24"/>
        </w:rPr>
        <w:t>n paid in the name of the child</w:t>
      </w:r>
      <w:r w:rsidRPr="006E406C">
        <w:rPr>
          <w:sz w:val="24"/>
          <w:szCs w:val="24"/>
        </w:rPr>
        <w:t xml:space="preserve">  </w:t>
      </w:r>
    </w:p>
    <w:p w:rsidR="00380FEE" w:rsidRDefault="00380FEE">
      <w:pPr>
        <w:rPr>
          <w:sz w:val="24"/>
          <w:szCs w:val="24"/>
        </w:rPr>
      </w:pPr>
    </w:p>
    <w:p w:rsidR="00380FEE" w:rsidRDefault="00380FEE">
      <w:pPr>
        <w:rPr>
          <w:sz w:val="24"/>
          <w:szCs w:val="24"/>
        </w:rPr>
      </w:pPr>
    </w:p>
    <w:p w:rsidR="00380FEE" w:rsidRDefault="009B2CC0">
      <w:pPr>
        <w:keepNext/>
        <w:rPr>
          <w:b/>
          <w:bCs/>
          <w:sz w:val="24"/>
          <w:szCs w:val="24"/>
          <w:u w:val="single"/>
        </w:rPr>
      </w:pPr>
      <w:r>
        <w:rPr>
          <w:b/>
          <w:bCs/>
          <w:sz w:val="24"/>
          <w:szCs w:val="24"/>
          <w:u w:val="single"/>
        </w:rPr>
        <w:t>Learning Objective</w:t>
      </w:r>
      <w:r w:rsidR="009319A5">
        <w:rPr>
          <w:b/>
          <w:bCs/>
          <w:sz w:val="24"/>
          <w:szCs w:val="24"/>
          <w:u w:val="single"/>
        </w:rPr>
        <w:t xml:space="preserve"> 6.</w:t>
      </w:r>
      <w:r w:rsidR="006A5CC3">
        <w:rPr>
          <w:b/>
          <w:bCs/>
          <w:sz w:val="24"/>
          <w:szCs w:val="24"/>
          <w:u w:val="single"/>
        </w:rPr>
        <w:t>11</w:t>
      </w:r>
      <w:r w:rsidR="00380FEE">
        <w:rPr>
          <w:b/>
          <w:bCs/>
          <w:sz w:val="24"/>
          <w:szCs w:val="24"/>
          <w:u w:val="single"/>
        </w:rPr>
        <w:tab/>
        <w:t>Community Property</w:t>
      </w:r>
    </w:p>
    <w:p w:rsidR="006E406C" w:rsidRDefault="00380FEE">
      <w:pPr>
        <w:rPr>
          <w:sz w:val="24"/>
          <w:szCs w:val="24"/>
        </w:rPr>
      </w:pPr>
      <w:r>
        <w:rPr>
          <w:sz w:val="24"/>
          <w:szCs w:val="24"/>
        </w:rPr>
        <w:t xml:space="preserve">Arizona, California, Idaho, Louisiana, Nevada, New Mexico, Texas, Washington and Wisconsin are community property states.  </w:t>
      </w:r>
    </w:p>
    <w:p w:rsidR="006E406C" w:rsidRDefault="009C3851" w:rsidP="006E406C">
      <w:pPr>
        <w:pStyle w:val="ListParagraph"/>
        <w:numPr>
          <w:ilvl w:val="0"/>
          <w:numId w:val="14"/>
        </w:numPr>
        <w:rPr>
          <w:sz w:val="24"/>
          <w:szCs w:val="24"/>
        </w:rPr>
      </w:pPr>
      <w:r w:rsidRPr="006E406C">
        <w:rPr>
          <w:sz w:val="24"/>
          <w:szCs w:val="24"/>
        </w:rPr>
        <w:t xml:space="preserve">In Alaska spouses </w:t>
      </w:r>
      <w:r w:rsidRPr="006E406C">
        <w:rPr>
          <w:i/>
          <w:sz w:val="24"/>
          <w:szCs w:val="24"/>
        </w:rPr>
        <w:t>may</w:t>
      </w:r>
      <w:r w:rsidRPr="006E406C">
        <w:rPr>
          <w:sz w:val="24"/>
          <w:szCs w:val="24"/>
        </w:rPr>
        <w:t xml:space="preserve"> elect to treat income as community income.  </w:t>
      </w:r>
    </w:p>
    <w:p w:rsidR="006E406C" w:rsidRDefault="00380FEE" w:rsidP="006E406C">
      <w:pPr>
        <w:pStyle w:val="ListParagraph"/>
        <w:numPr>
          <w:ilvl w:val="0"/>
          <w:numId w:val="14"/>
        </w:numPr>
        <w:rPr>
          <w:sz w:val="24"/>
          <w:szCs w:val="24"/>
        </w:rPr>
      </w:pPr>
      <w:r w:rsidRPr="006E406C">
        <w:rPr>
          <w:sz w:val="24"/>
          <w:szCs w:val="24"/>
        </w:rPr>
        <w:t>Pro</w:t>
      </w:r>
      <w:r w:rsidR="006E406C">
        <w:rPr>
          <w:sz w:val="24"/>
          <w:szCs w:val="24"/>
        </w:rPr>
        <w:t xml:space="preserve">perty owned before </w:t>
      </w:r>
      <w:r w:rsidR="0044645F" w:rsidRPr="006E406C">
        <w:rPr>
          <w:sz w:val="24"/>
          <w:szCs w:val="24"/>
        </w:rPr>
        <w:t xml:space="preserve">marriage, </w:t>
      </w:r>
      <w:r w:rsidR="006E406C">
        <w:rPr>
          <w:sz w:val="24"/>
          <w:szCs w:val="24"/>
        </w:rPr>
        <w:t xml:space="preserve">or property received as </w:t>
      </w:r>
      <w:r w:rsidRPr="006E406C">
        <w:rPr>
          <w:sz w:val="24"/>
          <w:szCs w:val="24"/>
        </w:rPr>
        <w:t>inheritance</w:t>
      </w:r>
      <w:r w:rsidR="0044645F" w:rsidRPr="006E406C">
        <w:rPr>
          <w:sz w:val="24"/>
          <w:szCs w:val="24"/>
        </w:rPr>
        <w:t>,</w:t>
      </w:r>
      <w:r w:rsidR="006E406C">
        <w:rPr>
          <w:sz w:val="24"/>
          <w:szCs w:val="24"/>
        </w:rPr>
        <w:t xml:space="preserve"> is separate property. </w:t>
      </w:r>
    </w:p>
    <w:p w:rsidR="006E406C" w:rsidRDefault="00380FEE" w:rsidP="006E406C">
      <w:pPr>
        <w:pStyle w:val="ListParagraph"/>
        <w:numPr>
          <w:ilvl w:val="0"/>
          <w:numId w:val="14"/>
        </w:numPr>
        <w:rPr>
          <w:sz w:val="24"/>
          <w:szCs w:val="24"/>
        </w:rPr>
      </w:pPr>
      <w:r w:rsidRPr="006E406C">
        <w:rPr>
          <w:sz w:val="24"/>
          <w:szCs w:val="24"/>
        </w:rPr>
        <w:t xml:space="preserve">All other property is assumed to be community property and </w:t>
      </w:r>
      <w:r w:rsidR="006E406C">
        <w:rPr>
          <w:sz w:val="24"/>
          <w:szCs w:val="24"/>
        </w:rPr>
        <w:t>FIT</w:t>
      </w:r>
      <w:r w:rsidRPr="006E406C">
        <w:rPr>
          <w:sz w:val="24"/>
          <w:szCs w:val="24"/>
        </w:rPr>
        <w:t xml:space="preserve"> must be allocated to each spouse.  </w:t>
      </w:r>
    </w:p>
    <w:p w:rsidR="00380FEE" w:rsidRPr="006E406C" w:rsidRDefault="00380FEE" w:rsidP="006E406C">
      <w:pPr>
        <w:pStyle w:val="ListParagraph"/>
        <w:numPr>
          <w:ilvl w:val="0"/>
          <w:numId w:val="14"/>
        </w:numPr>
        <w:rPr>
          <w:sz w:val="24"/>
          <w:szCs w:val="24"/>
        </w:rPr>
      </w:pPr>
      <w:r w:rsidRPr="006E406C">
        <w:rPr>
          <w:sz w:val="24"/>
          <w:szCs w:val="24"/>
        </w:rPr>
        <w:t xml:space="preserve">In community property states, income from salary and wages is generally treated as having been earned one-half by each spouse.  </w:t>
      </w:r>
    </w:p>
    <w:p w:rsidR="00422B73" w:rsidRDefault="00422B73">
      <w:pPr>
        <w:rPr>
          <w:sz w:val="24"/>
          <w:szCs w:val="24"/>
        </w:rPr>
      </w:pPr>
    </w:p>
    <w:p w:rsidR="006E406C" w:rsidRDefault="00422B73">
      <w:pPr>
        <w:rPr>
          <w:sz w:val="24"/>
          <w:szCs w:val="24"/>
        </w:rPr>
      </w:pPr>
      <w:r>
        <w:rPr>
          <w:sz w:val="24"/>
          <w:szCs w:val="24"/>
        </w:rPr>
        <w:t xml:space="preserve">A special provision is allowed when married spouses residing in a community property state do not live together.  </w:t>
      </w:r>
    </w:p>
    <w:p w:rsidR="006E406C" w:rsidRDefault="00422B73" w:rsidP="006E406C">
      <w:pPr>
        <w:pStyle w:val="ListParagraph"/>
        <w:numPr>
          <w:ilvl w:val="0"/>
          <w:numId w:val="15"/>
        </w:numPr>
        <w:rPr>
          <w:sz w:val="24"/>
          <w:szCs w:val="24"/>
        </w:rPr>
      </w:pPr>
      <w:r w:rsidRPr="006E406C">
        <w:rPr>
          <w:sz w:val="24"/>
          <w:szCs w:val="24"/>
        </w:rPr>
        <w:t>A spouse will be taxed only on his or her actual earnin</w:t>
      </w:r>
      <w:r w:rsidR="006E406C">
        <w:rPr>
          <w:sz w:val="24"/>
          <w:szCs w:val="24"/>
        </w:rPr>
        <w:t>gs from personal services when</w:t>
      </w:r>
    </w:p>
    <w:p w:rsidR="006E406C" w:rsidRDefault="00422B73" w:rsidP="006E406C">
      <w:pPr>
        <w:ind w:left="720" w:firstLine="720"/>
        <w:rPr>
          <w:sz w:val="24"/>
          <w:szCs w:val="24"/>
        </w:rPr>
      </w:pPr>
      <w:r w:rsidRPr="006E406C">
        <w:rPr>
          <w:sz w:val="24"/>
          <w:szCs w:val="24"/>
        </w:rPr>
        <w:t>1</w:t>
      </w:r>
      <w:r w:rsidR="001021C5" w:rsidRPr="006E406C">
        <w:rPr>
          <w:sz w:val="24"/>
          <w:szCs w:val="24"/>
        </w:rPr>
        <w:t>)</w:t>
      </w:r>
      <w:r w:rsidRPr="006E406C">
        <w:rPr>
          <w:sz w:val="24"/>
          <w:szCs w:val="24"/>
        </w:rPr>
        <w:t xml:space="preserve"> the</w:t>
      </w:r>
      <w:r w:rsidR="0044645F" w:rsidRPr="006E406C">
        <w:rPr>
          <w:sz w:val="24"/>
          <w:szCs w:val="24"/>
        </w:rPr>
        <w:t>y</w:t>
      </w:r>
      <w:r w:rsidRPr="006E406C">
        <w:rPr>
          <w:sz w:val="24"/>
          <w:szCs w:val="24"/>
        </w:rPr>
        <w:t xml:space="preserve"> live apart the en</w:t>
      </w:r>
      <w:r w:rsidR="006E406C">
        <w:rPr>
          <w:sz w:val="24"/>
          <w:szCs w:val="24"/>
        </w:rPr>
        <w:t>tire year</w:t>
      </w:r>
    </w:p>
    <w:p w:rsidR="006E406C" w:rsidRDefault="00422B73" w:rsidP="006E406C">
      <w:pPr>
        <w:ind w:left="720" w:firstLine="720"/>
        <w:rPr>
          <w:sz w:val="24"/>
          <w:szCs w:val="24"/>
        </w:rPr>
      </w:pPr>
      <w:r w:rsidRPr="006E406C">
        <w:rPr>
          <w:sz w:val="24"/>
          <w:szCs w:val="24"/>
        </w:rPr>
        <w:t xml:space="preserve">2) they do not file a joint return, and </w:t>
      </w:r>
    </w:p>
    <w:p w:rsidR="00422B73" w:rsidRPr="006E406C" w:rsidRDefault="00422B73" w:rsidP="006E406C">
      <w:pPr>
        <w:ind w:left="720" w:firstLine="720"/>
        <w:rPr>
          <w:sz w:val="24"/>
          <w:szCs w:val="24"/>
        </w:rPr>
      </w:pPr>
      <w:r w:rsidRPr="006E406C">
        <w:rPr>
          <w:sz w:val="24"/>
          <w:szCs w:val="24"/>
        </w:rPr>
        <w:t>3) no portion of earned income is transferred between spouses.</w:t>
      </w:r>
    </w:p>
    <w:p w:rsidR="00422B73" w:rsidRDefault="00422B73">
      <w:pPr>
        <w:rPr>
          <w:sz w:val="24"/>
          <w:szCs w:val="24"/>
        </w:rPr>
      </w:pPr>
    </w:p>
    <w:p w:rsidR="007D7477" w:rsidRDefault="00422B73" w:rsidP="007D7477">
      <w:pPr>
        <w:pStyle w:val="ListParagraph"/>
        <w:numPr>
          <w:ilvl w:val="0"/>
          <w:numId w:val="15"/>
        </w:numPr>
        <w:rPr>
          <w:sz w:val="24"/>
          <w:szCs w:val="24"/>
        </w:rPr>
      </w:pPr>
      <w:r w:rsidRPr="007D7477">
        <w:rPr>
          <w:sz w:val="24"/>
          <w:szCs w:val="24"/>
        </w:rPr>
        <w:t>Same-sex couples’ legally married under state law will now</w:t>
      </w:r>
      <w:r w:rsidR="007D7477">
        <w:rPr>
          <w:sz w:val="24"/>
          <w:szCs w:val="24"/>
        </w:rPr>
        <w:t xml:space="preserve"> be required to file as married</w:t>
      </w:r>
    </w:p>
    <w:p w:rsidR="006E406C" w:rsidRPr="007D7477" w:rsidRDefault="00422B73" w:rsidP="007D7477">
      <w:pPr>
        <w:pStyle w:val="ListParagraph"/>
        <w:numPr>
          <w:ilvl w:val="1"/>
          <w:numId w:val="15"/>
        </w:numPr>
        <w:rPr>
          <w:sz w:val="24"/>
          <w:szCs w:val="24"/>
        </w:rPr>
      </w:pPr>
      <w:r w:rsidRPr="007D7477">
        <w:rPr>
          <w:sz w:val="24"/>
          <w:szCs w:val="24"/>
        </w:rPr>
        <w:t xml:space="preserve">Community property states that recognize same-sex marriages also extend community property rights.  </w:t>
      </w:r>
      <w:bookmarkStart w:id="0" w:name="_GoBack"/>
      <w:bookmarkEnd w:id="0"/>
    </w:p>
    <w:sectPr w:rsidR="006E406C" w:rsidRPr="007D7477" w:rsidSect="00A6619A">
      <w:headerReference w:type="default" r:id="rId7"/>
      <w:footerReference w:type="default" r:id="rId8"/>
      <w:pgSz w:w="12240" w:h="15840"/>
      <w:pgMar w:top="1080" w:right="1440" w:bottom="108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F22" w:rsidRDefault="00115F22">
      <w:r>
        <w:separator/>
      </w:r>
    </w:p>
  </w:endnote>
  <w:endnote w:type="continuationSeparator" w:id="0">
    <w:p w:rsidR="00115F22" w:rsidRDefault="001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04" w:rsidRDefault="007F0B49" w:rsidP="007F0B49">
    <w:pPr>
      <w:tabs>
        <w:tab w:val="center" w:pos="4320"/>
        <w:tab w:val="right" w:pos="8640"/>
      </w:tabs>
      <w:rPr>
        <w:kern w:val="0"/>
      </w:rPr>
    </w:pPr>
    <w:r w:rsidRPr="00D166DE">
      <w:rPr>
        <w:sz w:val="16"/>
        <w:szCs w:val="16"/>
      </w:rPr>
      <w:t>© 201</w:t>
    </w:r>
    <w:r w:rsidR="009F7CDF">
      <w:rPr>
        <w:sz w:val="16"/>
        <w:szCs w:val="16"/>
      </w:rPr>
      <w:t>6</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F22" w:rsidRDefault="00115F22">
      <w:r>
        <w:separator/>
      </w:r>
    </w:p>
  </w:footnote>
  <w:footnote w:type="continuationSeparator" w:id="0">
    <w:p w:rsidR="00115F22" w:rsidRDefault="001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04" w:rsidRDefault="00682904">
    <w:pPr>
      <w:tabs>
        <w:tab w:val="center" w:pos="4680"/>
        <w:tab w:val="right" w:pos="9360"/>
      </w:tabs>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1748C"/>
    <w:multiLevelType w:val="hybridMultilevel"/>
    <w:tmpl w:val="EBCA3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25FEE"/>
    <w:multiLevelType w:val="hybridMultilevel"/>
    <w:tmpl w:val="02668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F56659"/>
    <w:multiLevelType w:val="hybridMultilevel"/>
    <w:tmpl w:val="4CC0B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090D4D"/>
    <w:multiLevelType w:val="hybridMultilevel"/>
    <w:tmpl w:val="0016A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86C2F"/>
    <w:multiLevelType w:val="hybridMultilevel"/>
    <w:tmpl w:val="2DA6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553BD"/>
    <w:multiLevelType w:val="hybridMultilevel"/>
    <w:tmpl w:val="84286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70FCF"/>
    <w:multiLevelType w:val="hybridMultilevel"/>
    <w:tmpl w:val="7A78A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EB4F3B"/>
    <w:multiLevelType w:val="hybridMultilevel"/>
    <w:tmpl w:val="972AA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07B2D"/>
    <w:multiLevelType w:val="hybridMultilevel"/>
    <w:tmpl w:val="8C3E8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2C62ED"/>
    <w:multiLevelType w:val="hybridMultilevel"/>
    <w:tmpl w:val="D084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810813"/>
    <w:multiLevelType w:val="hybridMultilevel"/>
    <w:tmpl w:val="E90AA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E212AA"/>
    <w:multiLevelType w:val="hybridMultilevel"/>
    <w:tmpl w:val="6BDE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59183C"/>
    <w:multiLevelType w:val="hybridMultilevel"/>
    <w:tmpl w:val="D9B80A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7A5431C6"/>
    <w:multiLevelType w:val="hybridMultilevel"/>
    <w:tmpl w:val="47A0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981784"/>
    <w:multiLevelType w:val="hybridMultilevel"/>
    <w:tmpl w:val="B3C0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6"/>
  </w:num>
  <w:num w:numId="5">
    <w:abstractNumId w:val="4"/>
  </w:num>
  <w:num w:numId="6">
    <w:abstractNumId w:val="9"/>
  </w:num>
  <w:num w:numId="7">
    <w:abstractNumId w:val="5"/>
  </w:num>
  <w:num w:numId="8">
    <w:abstractNumId w:val="13"/>
  </w:num>
  <w:num w:numId="9">
    <w:abstractNumId w:val="10"/>
  </w:num>
  <w:num w:numId="10">
    <w:abstractNumId w:val="12"/>
  </w:num>
  <w:num w:numId="11">
    <w:abstractNumId w:val="7"/>
  </w:num>
  <w:num w:numId="12">
    <w:abstractNumId w:val="3"/>
  </w:num>
  <w:num w:numId="13">
    <w:abstractNumId w:val="2"/>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380FEE"/>
    <w:rsid w:val="00043277"/>
    <w:rsid w:val="000535F8"/>
    <w:rsid w:val="00076333"/>
    <w:rsid w:val="000C5FBA"/>
    <w:rsid w:val="000D148D"/>
    <w:rsid w:val="000F0C91"/>
    <w:rsid w:val="001021C5"/>
    <w:rsid w:val="00113ED1"/>
    <w:rsid w:val="00115F22"/>
    <w:rsid w:val="0017053B"/>
    <w:rsid w:val="001A58B5"/>
    <w:rsid w:val="001E67DD"/>
    <w:rsid w:val="002577DC"/>
    <w:rsid w:val="002848CA"/>
    <w:rsid w:val="002A69DC"/>
    <w:rsid w:val="002D3809"/>
    <w:rsid w:val="003046CF"/>
    <w:rsid w:val="00322A06"/>
    <w:rsid w:val="00325712"/>
    <w:rsid w:val="003363F2"/>
    <w:rsid w:val="003415D8"/>
    <w:rsid w:val="0035472E"/>
    <w:rsid w:val="00356321"/>
    <w:rsid w:val="00380FEE"/>
    <w:rsid w:val="00397B57"/>
    <w:rsid w:val="00422B73"/>
    <w:rsid w:val="00443BC7"/>
    <w:rsid w:val="0044645F"/>
    <w:rsid w:val="00456557"/>
    <w:rsid w:val="00460C37"/>
    <w:rsid w:val="00494025"/>
    <w:rsid w:val="004B7799"/>
    <w:rsid w:val="00531FF1"/>
    <w:rsid w:val="005A479B"/>
    <w:rsid w:val="005A70A8"/>
    <w:rsid w:val="005B3A7F"/>
    <w:rsid w:val="00603559"/>
    <w:rsid w:val="00625220"/>
    <w:rsid w:val="00630C2E"/>
    <w:rsid w:val="00667223"/>
    <w:rsid w:val="00682904"/>
    <w:rsid w:val="006A5CC3"/>
    <w:rsid w:val="006B4F3D"/>
    <w:rsid w:val="006D5106"/>
    <w:rsid w:val="006E406C"/>
    <w:rsid w:val="00714ACC"/>
    <w:rsid w:val="00720B6B"/>
    <w:rsid w:val="007A555D"/>
    <w:rsid w:val="007D51C5"/>
    <w:rsid w:val="007D7477"/>
    <w:rsid w:val="007D78A5"/>
    <w:rsid w:val="007F0B49"/>
    <w:rsid w:val="007F71A9"/>
    <w:rsid w:val="00844634"/>
    <w:rsid w:val="00852ACF"/>
    <w:rsid w:val="008536AC"/>
    <w:rsid w:val="00862771"/>
    <w:rsid w:val="008A52F1"/>
    <w:rsid w:val="008D3B33"/>
    <w:rsid w:val="008F68D6"/>
    <w:rsid w:val="00902FD5"/>
    <w:rsid w:val="009319A5"/>
    <w:rsid w:val="00970FFA"/>
    <w:rsid w:val="009A44CC"/>
    <w:rsid w:val="009A7F30"/>
    <w:rsid w:val="009B0AD2"/>
    <w:rsid w:val="009B2CC0"/>
    <w:rsid w:val="009C3851"/>
    <w:rsid w:val="009F5E59"/>
    <w:rsid w:val="009F7CDF"/>
    <w:rsid w:val="00A26F1A"/>
    <w:rsid w:val="00A6619A"/>
    <w:rsid w:val="00AD0D10"/>
    <w:rsid w:val="00B23FC6"/>
    <w:rsid w:val="00B53C23"/>
    <w:rsid w:val="00B5604E"/>
    <w:rsid w:val="00B74A84"/>
    <w:rsid w:val="00BB00E6"/>
    <w:rsid w:val="00BC13FC"/>
    <w:rsid w:val="00C23A47"/>
    <w:rsid w:val="00C363F9"/>
    <w:rsid w:val="00C66758"/>
    <w:rsid w:val="00C75B93"/>
    <w:rsid w:val="00CA763A"/>
    <w:rsid w:val="00CB0A96"/>
    <w:rsid w:val="00D26458"/>
    <w:rsid w:val="00D73B1F"/>
    <w:rsid w:val="00D86627"/>
    <w:rsid w:val="00DF7297"/>
    <w:rsid w:val="00E0257F"/>
    <w:rsid w:val="00E207DB"/>
    <w:rsid w:val="00E45A86"/>
    <w:rsid w:val="00E83FF7"/>
    <w:rsid w:val="00EC5A85"/>
    <w:rsid w:val="00EC73FC"/>
    <w:rsid w:val="00F64C45"/>
    <w:rsid w:val="00F737A9"/>
    <w:rsid w:val="00F8164B"/>
    <w:rsid w:val="00F93F5F"/>
    <w:rsid w:val="00FD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0A58946"/>
  <w15:docId w15:val="{741945CD-AC84-4506-BCA7-FFB93609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A47"/>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82904"/>
    <w:rPr>
      <w:rFonts w:ascii="Tahoma" w:hAnsi="Tahoma" w:cs="Tahoma"/>
      <w:sz w:val="16"/>
      <w:szCs w:val="16"/>
    </w:rPr>
  </w:style>
  <w:style w:type="character" w:customStyle="1" w:styleId="BalloonTextChar">
    <w:name w:val="Balloon Text Char"/>
    <w:basedOn w:val="DefaultParagraphFont"/>
    <w:link w:val="BalloonText"/>
    <w:rsid w:val="00682904"/>
    <w:rPr>
      <w:rFonts w:ascii="Tahoma" w:hAnsi="Tahoma" w:cs="Tahoma"/>
      <w:kern w:val="28"/>
      <w:sz w:val="16"/>
      <w:szCs w:val="16"/>
    </w:rPr>
  </w:style>
  <w:style w:type="paragraph" w:styleId="ListParagraph">
    <w:name w:val="List Paragraph"/>
    <w:basedOn w:val="Normal"/>
    <w:uiPriority w:val="34"/>
    <w:qFormat/>
    <w:rsid w:val="009A44CC"/>
    <w:pPr>
      <w:ind w:left="720"/>
      <w:contextualSpacing/>
    </w:pPr>
  </w:style>
  <w:style w:type="paragraph" w:styleId="Header">
    <w:name w:val="header"/>
    <w:basedOn w:val="Normal"/>
    <w:link w:val="HeaderChar"/>
    <w:unhideWhenUsed/>
    <w:rsid w:val="00970FFA"/>
    <w:pPr>
      <w:tabs>
        <w:tab w:val="center" w:pos="4680"/>
        <w:tab w:val="right" w:pos="9360"/>
      </w:tabs>
    </w:pPr>
  </w:style>
  <w:style w:type="character" w:customStyle="1" w:styleId="HeaderChar">
    <w:name w:val="Header Char"/>
    <w:basedOn w:val="DefaultParagraphFont"/>
    <w:link w:val="Header"/>
    <w:rsid w:val="00970FFA"/>
    <w:rPr>
      <w:kern w:val="28"/>
    </w:rPr>
  </w:style>
  <w:style w:type="paragraph" w:styleId="Footer">
    <w:name w:val="footer"/>
    <w:basedOn w:val="Normal"/>
    <w:link w:val="FooterChar"/>
    <w:unhideWhenUsed/>
    <w:rsid w:val="00970FFA"/>
    <w:pPr>
      <w:tabs>
        <w:tab w:val="center" w:pos="4680"/>
        <w:tab w:val="right" w:pos="9360"/>
      </w:tabs>
    </w:pPr>
  </w:style>
  <w:style w:type="character" w:customStyle="1" w:styleId="FooterChar">
    <w:name w:val="Footer Char"/>
    <w:basedOn w:val="DefaultParagraphFont"/>
    <w:link w:val="Footer"/>
    <w:rsid w:val="00970FFA"/>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1468</TotalTime>
  <Pages>1</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Chapter Six</vt:lpstr>
    </vt:vector>
  </TitlesOfParts>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Six</dc:title>
  <dc:creator>ELIZABETH STONE ATKINS</dc:creator>
  <cp:lastModifiedBy>Lisa</cp:lastModifiedBy>
  <cp:revision>9</cp:revision>
  <cp:lastPrinted>2013-10-13T17:41:00Z</cp:lastPrinted>
  <dcterms:created xsi:type="dcterms:W3CDTF">2016-10-26T03:25:00Z</dcterms:created>
  <dcterms:modified xsi:type="dcterms:W3CDTF">2016-10-27T15:33:00Z</dcterms:modified>
</cp:coreProperties>
</file>